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FF8" w:rsidRPr="00377102" w:rsidRDefault="00916FF8">
      <w:pPr>
        <w:jc w:val="right"/>
        <w:rPr>
          <w:rFonts w:cs="Miriam"/>
          <w:b/>
          <w:bCs/>
          <w:sz w:val="16"/>
          <w:szCs w:val="16"/>
          <w:u w:val="single"/>
        </w:rPr>
      </w:pPr>
    </w:p>
    <w:tbl>
      <w:tblPr>
        <w:bidiVisual/>
        <w:tblW w:w="8363" w:type="dxa"/>
        <w:tblInd w:w="9" w:type="dxa"/>
        <w:tblLook w:val="0000" w:firstRow="0" w:lastRow="0" w:firstColumn="0" w:lastColumn="0" w:noHBand="0" w:noVBand="0"/>
      </w:tblPr>
      <w:tblGrid>
        <w:gridCol w:w="8363"/>
      </w:tblGrid>
      <w:tr w:rsidR="00036227" w:rsidTr="0039709B">
        <w:tc>
          <w:tcPr>
            <w:tcW w:w="7848" w:type="dxa"/>
          </w:tcPr>
          <w:p w:rsidR="00916FF8" w:rsidRPr="00624A42" w:rsidRDefault="00A05082" w:rsidP="004C7868">
            <w:pPr>
              <w:pStyle w:val="FileNumber0"/>
              <w:rPr>
                <w:sz w:val="28"/>
                <w:u w:val="single"/>
                <w:rtl/>
              </w:rPr>
            </w:pPr>
            <w:r>
              <w:rPr>
                <w:u w:val="single"/>
                <w:rtl/>
              </w:rPr>
              <w:t>בבית המשפט העליון בשבתו כבית משפט לערעורים פליליים</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A05082">
            <w:pPr>
              <w:pStyle w:val="FileNumber"/>
              <w:rPr>
                <w:sz w:val="28"/>
                <w:szCs w:val="28"/>
              </w:rPr>
            </w:pPr>
            <w:bookmarkStart w:id="0" w:name="casename_body"/>
            <w:r>
              <w:rPr>
                <w:sz w:val="28"/>
                <w:szCs w:val="28"/>
                <w:rtl/>
              </w:rPr>
              <w:t xml:space="preserve">ע"פ  </w:t>
            </w:r>
            <w:bookmarkStart w:id="1" w:name="_GoBack"/>
            <w:r>
              <w:rPr>
                <w:sz w:val="28"/>
                <w:szCs w:val="28"/>
                <w:rtl/>
              </w:rPr>
              <w:t>6692/23</w:t>
            </w:r>
            <w:bookmarkEnd w:id="1"/>
          </w:p>
        </w:tc>
      </w:tr>
      <w:tr w:rsidR="00A05082" w:rsidTr="0039709B">
        <w:trPr>
          <w:trHeight w:val="342"/>
        </w:trPr>
        <w:tc>
          <w:tcPr>
            <w:tcW w:w="9828" w:type="dxa"/>
          </w:tcPr>
          <w:p w:rsidR="00A05082" w:rsidRPr="00810894" w:rsidRDefault="00A05082">
            <w:pPr>
              <w:pStyle w:val="FileNumber"/>
              <w:rPr>
                <w:sz w:val="28"/>
                <w:szCs w:val="28"/>
              </w:rPr>
            </w:pPr>
            <w:r>
              <w:rPr>
                <w:sz w:val="28"/>
                <w:szCs w:val="28"/>
                <w:rtl/>
              </w:rPr>
              <w:t>ע"פ  6708/23</w:t>
            </w:r>
          </w:p>
        </w:tc>
      </w:tr>
      <w:bookmarkEnd w:id="0"/>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A05082">
            <w:pPr>
              <w:pStyle w:val="BodyRuller"/>
            </w:pPr>
            <w:r>
              <w:rPr>
                <w:rtl/>
              </w:rPr>
              <w:t>כבוד השופט י' אלרון</w:t>
            </w:r>
          </w:p>
        </w:tc>
      </w:tr>
      <w:tr w:rsidR="00A05082" w:rsidTr="00EC23AC">
        <w:trPr>
          <w:trHeight w:val="287"/>
        </w:trPr>
        <w:tc>
          <w:tcPr>
            <w:tcW w:w="3261" w:type="dxa"/>
          </w:tcPr>
          <w:p w:rsidR="00A05082" w:rsidRDefault="00A05082">
            <w:pPr>
              <w:pStyle w:val="BodyRuller"/>
              <w:rPr>
                <w:rtl/>
              </w:rPr>
            </w:pPr>
          </w:p>
        </w:tc>
        <w:tc>
          <w:tcPr>
            <w:tcW w:w="5239" w:type="dxa"/>
          </w:tcPr>
          <w:p w:rsidR="00A05082" w:rsidRDefault="00A05082">
            <w:pPr>
              <w:pStyle w:val="BodyRuller"/>
              <w:rPr>
                <w:rtl/>
              </w:rPr>
            </w:pPr>
            <w:r>
              <w:rPr>
                <w:rtl/>
              </w:rPr>
              <w:t>כבוד השופט א' שטיין</w:t>
            </w:r>
          </w:p>
        </w:tc>
      </w:tr>
      <w:tr w:rsidR="00A05082" w:rsidTr="00EC23AC">
        <w:trPr>
          <w:trHeight w:val="287"/>
        </w:trPr>
        <w:tc>
          <w:tcPr>
            <w:tcW w:w="3261" w:type="dxa"/>
          </w:tcPr>
          <w:p w:rsidR="00A05082" w:rsidRDefault="00A05082">
            <w:pPr>
              <w:pStyle w:val="BodyRuller"/>
              <w:rPr>
                <w:rtl/>
              </w:rPr>
            </w:pPr>
          </w:p>
        </w:tc>
        <w:tc>
          <w:tcPr>
            <w:tcW w:w="5239" w:type="dxa"/>
          </w:tcPr>
          <w:p w:rsidR="00A05082" w:rsidRDefault="00A05082">
            <w:pPr>
              <w:pStyle w:val="BodyRuller"/>
              <w:rPr>
                <w:rtl/>
              </w:rPr>
            </w:pPr>
            <w:r>
              <w:rPr>
                <w:rtl/>
              </w:rPr>
              <w:t>כבוד השופטת ג' כנפי-שטייניץ</w:t>
            </w:r>
          </w:p>
        </w:tc>
      </w:tr>
    </w:tbl>
    <w:p w:rsidR="00916FF8"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E745A9" w:rsidTr="00BC7AD1">
        <w:trPr>
          <w:trHeight w:val="287"/>
        </w:trPr>
        <w:tc>
          <w:tcPr>
            <w:tcW w:w="3261" w:type="dxa"/>
          </w:tcPr>
          <w:p w:rsidR="00E745A9" w:rsidRPr="00E75223" w:rsidRDefault="00E745A9" w:rsidP="00BC7AD1">
            <w:pPr>
              <w:pStyle w:val="BodyRuller"/>
              <w:rPr>
                <w:rFonts w:ascii="David" w:hAnsi="David"/>
              </w:rPr>
            </w:pPr>
            <w:r>
              <w:rPr>
                <w:rFonts w:ascii="David" w:hAnsi="David"/>
                <w:rtl/>
              </w:rPr>
              <w:t>המערער ב</w:t>
            </w:r>
            <w:r>
              <w:rPr>
                <w:rFonts w:ascii="David" w:hAnsi="David" w:hint="cs"/>
                <w:rtl/>
              </w:rPr>
              <w:t>-</w:t>
            </w:r>
            <w:r>
              <w:rPr>
                <w:rFonts w:ascii="David" w:hAnsi="David"/>
                <w:rtl/>
              </w:rPr>
              <w:t>ע"פ 6692/23</w:t>
            </w:r>
            <w:r>
              <w:rPr>
                <w:rFonts w:ascii="David" w:hAnsi="David" w:hint="cs"/>
                <w:rtl/>
              </w:rPr>
              <w:t xml:space="preserve"> והמשיב ב-ע"פ 6708/23:</w:t>
            </w:r>
          </w:p>
        </w:tc>
        <w:tc>
          <w:tcPr>
            <w:tcW w:w="5239" w:type="dxa"/>
          </w:tcPr>
          <w:p w:rsidR="00E745A9" w:rsidRDefault="00E745A9" w:rsidP="00BC7AD1">
            <w:pPr>
              <w:pStyle w:val="BodyRuller"/>
              <w:rPr>
                <w:rtl/>
              </w:rPr>
            </w:pPr>
          </w:p>
          <w:p w:rsidR="00E745A9" w:rsidRDefault="007414F2" w:rsidP="007414F2">
            <w:pPr>
              <w:pStyle w:val="BodyRuller"/>
            </w:pPr>
            <w:r>
              <w:rPr>
                <w:rtl/>
              </w:rPr>
              <w:t xml:space="preserve">גאורגי </w:t>
            </w:r>
            <w:proofErr w:type="spellStart"/>
            <w:r w:rsidR="00E745A9">
              <w:rPr>
                <w:rtl/>
              </w:rPr>
              <w:t>זלקוב</w:t>
            </w:r>
            <w:proofErr w:type="spellEnd"/>
            <w:r w:rsidR="00E745A9">
              <w:rPr>
                <w:rtl/>
              </w:rPr>
              <w:t xml:space="preserve"> </w:t>
            </w:r>
          </w:p>
        </w:tc>
      </w:tr>
    </w:tbl>
    <w:p w:rsidR="00E745A9" w:rsidRDefault="00E745A9" w:rsidP="00E745A9">
      <w:pPr>
        <w:pStyle w:val="Ruller3"/>
      </w:pPr>
    </w:p>
    <w:tbl>
      <w:tblPr>
        <w:bidiVisual/>
        <w:tblW w:w="8363" w:type="dxa"/>
        <w:tblLook w:val="0000" w:firstRow="0" w:lastRow="0" w:firstColumn="0" w:lastColumn="0" w:noHBand="0" w:noVBand="0"/>
      </w:tblPr>
      <w:tblGrid>
        <w:gridCol w:w="3222"/>
        <w:gridCol w:w="5141"/>
      </w:tblGrid>
      <w:tr w:rsidR="00E745A9" w:rsidTr="00BC7AD1">
        <w:tc>
          <w:tcPr>
            <w:tcW w:w="3284" w:type="dxa"/>
          </w:tcPr>
          <w:p w:rsidR="00E745A9" w:rsidRDefault="00E745A9" w:rsidP="00BC7AD1">
            <w:pPr>
              <w:pStyle w:val="BodyRuller"/>
            </w:pPr>
          </w:p>
        </w:tc>
        <w:tc>
          <w:tcPr>
            <w:tcW w:w="5238" w:type="dxa"/>
          </w:tcPr>
          <w:p w:rsidR="00E745A9" w:rsidRDefault="00E745A9" w:rsidP="00BC7AD1">
            <w:pPr>
              <w:pStyle w:val="BodyRuller"/>
            </w:pPr>
            <w:r>
              <w:rPr>
                <w:rFonts w:hint="cs"/>
                <w:rtl/>
              </w:rPr>
              <w:t>נ</w:t>
            </w:r>
            <w:r>
              <w:t xml:space="preserve">  </w:t>
            </w:r>
            <w:r>
              <w:rPr>
                <w:rFonts w:hint="cs"/>
                <w:rtl/>
              </w:rPr>
              <w:t>ג</w:t>
            </w:r>
            <w:r>
              <w:t xml:space="preserve">  </w:t>
            </w:r>
            <w:r>
              <w:rPr>
                <w:rFonts w:hint="cs"/>
                <w:rtl/>
              </w:rPr>
              <w:t>ד</w:t>
            </w:r>
          </w:p>
        </w:tc>
      </w:tr>
    </w:tbl>
    <w:p w:rsidR="00E745A9" w:rsidRDefault="00E745A9" w:rsidP="00E745A9">
      <w:pPr>
        <w:pStyle w:val="Ruller3"/>
        <w:rPr>
          <w:rtl/>
        </w:rPr>
      </w:pPr>
    </w:p>
    <w:tbl>
      <w:tblPr>
        <w:bidiVisual/>
        <w:tblW w:w="8364" w:type="dxa"/>
        <w:tblLayout w:type="fixed"/>
        <w:tblLook w:val="0000" w:firstRow="0" w:lastRow="0" w:firstColumn="0" w:lastColumn="0" w:noHBand="0" w:noVBand="0"/>
      </w:tblPr>
      <w:tblGrid>
        <w:gridCol w:w="3210"/>
        <w:gridCol w:w="5154"/>
      </w:tblGrid>
      <w:tr w:rsidR="00E745A9" w:rsidTr="00BC7AD1">
        <w:trPr>
          <w:trHeight w:val="287"/>
        </w:trPr>
        <w:tc>
          <w:tcPr>
            <w:tcW w:w="3210" w:type="dxa"/>
          </w:tcPr>
          <w:p w:rsidR="00E745A9" w:rsidRDefault="00E745A9" w:rsidP="00767D54">
            <w:pPr>
              <w:pStyle w:val="BodyRuller"/>
              <w:rPr>
                <w:rFonts w:ascii="David" w:hAnsi="David"/>
                <w:rtl/>
              </w:rPr>
            </w:pPr>
            <w:r>
              <w:rPr>
                <w:rFonts w:ascii="David" w:hAnsi="David" w:hint="cs"/>
                <w:rtl/>
              </w:rPr>
              <w:t>המשיבה ב-ע"פ 6692/23</w:t>
            </w:r>
          </w:p>
          <w:p w:rsidR="00E745A9" w:rsidRDefault="00E745A9" w:rsidP="00BC7AD1">
            <w:pPr>
              <w:pStyle w:val="BodyRuller"/>
              <w:rPr>
                <w:rFonts w:ascii="David" w:hAnsi="David"/>
                <w:rtl/>
              </w:rPr>
            </w:pPr>
            <w:r>
              <w:rPr>
                <w:rFonts w:ascii="David" w:hAnsi="David" w:hint="cs"/>
                <w:rtl/>
              </w:rPr>
              <w:t>ו</w:t>
            </w:r>
            <w:r w:rsidRPr="0049674B">
              <w:rPr>
                <w:rFonts w:ascii="David" w:hAnsi="David"/>
                <w:rtl/>
              </w:rPr>
              <w:t>המערערת בע"פ 6708/23</w:t>
            </w:r>
            <w:r>
              <w:rPr>
                <w:rFonts w:ascii="David" w:hAnsi="David"/>
                <w:rtl/>
              </w:rPr>
              <w:t>:</w:t>
            </w:r>
          </w:p>
          <w:p w:rsidR="00E745A9" w:rsidRPr="00E75223" w:rsidRDefault="00E745A9" w:rsidP="00BC7AD1">
            <w:pPr>
              <w:pStyle w:val="BodyRuller"/>
              <w:rPr>
                <w:rFonts w:ascii="David" w:hAnsi="David"/>
              </w:rPr>
            </w:pPr>
          </w:p>
        </w:tc>
        <w:tc>
          <w:tcPr>
            <w:tcW w:w="5154" w:type="dxa"/>
          </w:tcPr>
          <w:p w:rsidR="00E745A9" w:rsidRDefault="00E745A9" w:rsidP="00BC7AD1">
            <w:pPr>
              <w:pStyle w:val="BodyRuller"/>
              <w:rPr>
                <w:rtl/>
              </w:rPr>
            </w:pPr>
          </w:p>
          <w:p w:rsidR="00E745A9" w:rsidRDefault="00E745A9" w:rsidP="00BC7AD1">
            <w:pPr>
              <w:pStyle w:val="BodyRuller"/>
            </w:pPr>
            <w:r>
              <w:rPr>
                <w:rtl/>
              </w:rPr>
              <w:t>מדינת ישראל</w:t>
            </w:r>
          </w:p>
        </w:tc>
      </w:tr>
    </w:tbl>
    <w:p w:rsidR="00E745A9" w:rsidRPr="00460C86" w:rsidRDefault="00E745A9" w:rsidP="00E745A9">
      <w:pPr>
        <w:pStyle w:val="Ruller3"/>
        <w:rPr>
          <w:sz w:val="16"/>
          <w:szCs w:val="16"/>
        </w:rPr>
      </w:pPr>
    </w:p>
    <w:tbl>
      <w:tblPr>
        <w:bidiVisual/>
        <w:tblW w:w="0" w:type="auto"/>
        <w:tblInd w:w="3209" w:type="dxa"/>
        <w:tblLook w:val="0000" w:firstRow="0" w:lastRow="0" w:firstColumn="0" w:lastColumn="0" w:noHBand="0" w:noVBand="0"/>
      </w:tblPr>
      <w:tblGrid>
        <w:gridCol w:w="5103"/>
      </w:tblGrid>
      <w:tr w:rsidR="00E745A9" w:rsidTr="00BC7AD1">
        <w:tc>
          <w:tcPr>
            <w:tcW w:w="5103" w:type="dxa"/>
          </w:tcPr>
          <w:p w:rsidR="00E745A9" w:rsidRPr="00265F6E" w:rsidRDefault="00E745A9" w:rsidP="00BC7AD1">
            <w:pPr>
              <w:pStyle w:val="BodyRuller"/>
              <w:jc w:val="both"/>
              <w:rPr>
                <w:sz w:val="24"/>
                <w:szCs w:val="24"/>
              </w:rPr>
            </w:pPr>
            <w:r w:rsidRPr="0049674B">
              <w:rPr>
                <w:sz w:val="24"/>
                <w:szCs w:val="24"/>
                <w:rtl/>
              </w:rPr>
              <w:t xml:space="preserve">ערעורים על גזר </w:t>
            </w:r>
            <w:r>
              <w:rPr>
                <w:rFonts w:hint="cs"/>
                <w:sz w:val="24"/>
                <w:szCs w:val="24"/>
                <w:rtl/>
              </w:rPr>
              <w:t>דינו</w:t>
            </w:r>
            <w:r w:rsidRPr="0049674B">
              <w:rPr>
                <w:sz w:val="24"/>
                <w:szCs w:val="24"/>
                <w:rtl/>
              </w:rPr>
              <w:t xml:space="preserve"> של בית המשפט המחוזי </w:t>
            </w:r>
            <w:r>
              <w:rPr>
                <w:rFonts w:hint="cs"/>
                <w:sz w:val="24"/>
                <w:szCs w:val="24"/>
                <w:rtl/>
              </w:rPr>
              <w:t>ב</w:t>
            </w:r>
            <w:r w:rsidRPr="0049674B">
              <w:rPr>
                <w:sz w:val="24"/>
                <w:szCs w:val="24"/>
                <w:rtl/>
              </w:rPr>
              <w:t>חיפה ב</w:t>
            </w:r>
            <w:r>
              <w:rPr>
                <w:rFonts w:hint="cs"/>
                <w:sz w:val="24"/>
                <w:szCs w:val="24"/>
                <w:rtl/>
              </w:rPr>
              <w:t>-</w:t>
            </w:r>
            <w:r w:rsidRPr="0049674B">
              <w:rPr>
                <w:sz w:val="24"/>
                <w:szCs w:val="24"/>
                <w:rtl/>
              </w:rPr>
              <w:t>תפ"ח 18956-09-21</w:t>
            </w:r>
            <w:r>
              <w:rPr>
                <w:rFonts w:hint="cs"/>
                <w:sz w:val="24"/>
                <w:szCs w:val="24"/>
                <w:rtl/>
              </w:rPr>
              <w:t xml:space="preserve"> מיום </w:t>
            </w:r>
            <w:r w:rsidRPr="0049674B">
              <w:rPr>
                <w:sz w:val="24"/>
                <w:szCs w:val="24"/>
                <w:rtl/>
              </w:rPr>
              <w:t xml:space="preserve">13.6.2023 </w:t>
            </w:r>
            <w:r>
              <w:rPr>
                <w:rFonts w:hint="cs"/>
                <w:sz w:val="24"/>
                <w:szCs w:val="24"/>
                <w:rtl/>
              </w:rPr>
              <w:t xml:space="preserve">אשר ניתן על-ידי </w:t>
            </w:r>
            <w:r w:rsidRPr="0049674B">
              <w:rPr>
                <w:sz w:val="24"/>
                <w:szCs w:val="24"/>
                <w:rtl/>
              </w:rPr>
              <w:t>השופט</w:t>
            </w:r>
            <w:r>
              <w:rPr>
                <w:sz w:val="24"/>
                <w:szCs w:val="24"/>
                <w:rtl/>
              </w:rPr>
              <w:t xml:space="preserve">ים א' לוי, ע' </w:t>
            </w:r>
            <w:proofErr w:type="spellStart"/>
            <w:r>
              <w:rPr>
                <w:sz w:val="24"/>
                <w:szCs w:val="24"/>
                <w:rtl/>
              </w:rPr>
              <w:t>קוטון</w:t>
            </w:r>
            <w:proofErr w:type="spellEnd"/>
            <w:r>
              <w:rPr>
                <w:sz w:val="24"/>
                <w:szCs w:val="24"/>
                <w:rtl/>
              </w:rPr>
              <w:t xml:space="preserve"> ו</w:t>
            </w:r>
            <w:r w:rsidR="00FF0ACF">
              <w:rPr>
                <w:rFonts w:hint="cs"/>
                <w:sz w:val="24"/>
                <w:szCs w:val="24"/>
                <w:rtl/>
              </w:rPr>
              <w:t>-</w:t>
            </w:r>
            <w:r>
              <w:rPr>
                <w:sz w:val="24"/>
                <w:szCs w:val="24"/>
                <w:rtl/>
              </w:rPr>
              <w:t xml:space="preserve">ע' </w:t>
            </w:r>
            <w:proofErr w:type="spellStart"/>
            <w:r>
              <w:rPr>
                <w:sz w:val="24"/>
                <w:szCs w:val="24"/>
                <w:rtl/>
              </w:rPr>
              <w:t>וינברגר</w:t>
            </w:r>
            <w:proofErr w:type="spellEnd"/>
          </w:p>
        </w:tc>
      </w:tr>
    </w:tbl>
    <w:p w:rsidR="00E745A9" w:rsidRPr="00460C86" w:rsidRDefault="00E745A9" w:rsidP="00E745A9">
      <w:pPr>
        <w:pStyle w:val="Ruller3"/>
        <w:rPr>
          <w:sz w:val="16"/>
          <w:szCs w:val="16"/>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2423"/>
        <w:gridCol w:w="2710"/>
      </w:tblGrid>
      <w:tr w:rsidR="00E745A9" w:rsidTr="00BC7AD1">
        <w:tc>
          <w:tcPr>
            <w:tcW w:w="3212" w:type="dxa"/>
            <w:tcBorders>
              <w:top w:val="nil"/>
              <w:left w:val="nil"/>
              <w:bottom w:val="nil"/>
              <w:right w:val="nil"/>
            </w:tcBorders>
          </w:tcPr>
          <w:p w:rsidR="00E745A9" w:rsidRPr="00265F6E" w:rsidRDefault="00E745A9" w:rsidP="00BC7AD1">
            <w:pPr>
              <w:pStyle w:val="BodyRuller"/>
              <w:rPr>
                <w:sz w:val="24"/>
                <w:szCs w:val="24"/>
              </w:rPr>
            </w:pPr>
            <w:r w:rsidRPr="00265F6E">
              <w:rPr>
                <w:sz w:val="24"/>
                <w:szCs w:val="24"/>
                <w:rtl/>
              </w:rPr>
              <w:t>תאריך הישיבה:</w:t>
            </w:r>
          </w:p>
        </w:tc>
        <w:tc>
          <w:tcPr>
            <w:tcW w:w="2409" w:type="dxa"/>
            <w:tcBorders>
              <w:top w:val="nil"/>
              <w:left w:val="nil"/>
              <w:bottom w:val="nil"/>
              <w:right w:val="nil"/>
            </w:tcBorders>
          </w:tcPr>
          <w:p w:rsidR="00E745A9" w:rsidRPr="00741073" w:rsidRDefault="00E745A9" w:rsidP="00BC7AD1">
            <w:pPr>
              <w:pStyle w:val="BodyRuller"/>
              <w:rPr>
                <w:sz w:val="24"/>
                <w:szCs w:val="24"/>
                <w:rtl/>
              </w:rPr>
            </w:pPr>
            <w:r w:rsidRPr="00741073">
              <w:rPr>
                <w:rFonts w:hint="eastAsia"/>
                <w:sz w:val="24"/>
                <w:szCs w:val="24"/>
                <w:rtl/>
              </w:rPr>
              <w:t>‏</w:t>
            </w:r>
            <w:r>
              <w:rPr>
                <w:rFonts w:hint="cs"/>
                <w:sz w:val="24"/>
                <w:szCs w:val="24"/>
                <w:rtl/>
              </w:rPr>
              <w:t>כ'</w:t>
            </w:r>
            <w:r w:rsidRPr="00741073">
              <w:rPr>
                <w:sz w:val="24"/>
                <w:szCs w:val="24"/>
                <w:rtl/>
              </w:rPr>
              <w:t xml:space="preserve"> בסיון </w:t>
            </w:r>
            <w:proofErr w:type="spellStart"/>
            <w:r w:rsidRPr="00741073">
              <w:rPr>
                <w:sz w:val="24"/>
                <w:szCs w:val="24"/>
                <w:rtl/>
              </w:rPr>
              <w:t>התשפ"ד</w:t>
            </w:r>
            <w:proofErr w:type="spellEnd"/>
            <w:r w:rsidRPr="00741073">
              <w:rPr>
                <w:sz w:val="24"/>
                <w:szCs w:val="24"/>
                <w:rtl/>
              </w:rPr>
              <w:t xml:space="preserve"> </w:t>
            </w:r>
          </w:p>
        </w:tc>
        <w:tc>
          <w:tcPr>
            <w:tcW w:w="2694" w:type="dxa"/>
            <w:tcBorders>
              <w:top w:val="nil"/>
              <w:left w:val="nil"/>
              <w:bottom w:val="nil"/>
              <w:right w:val="nil"/>
            </w:tcBorders>
          </w:tcPr>
          <w:p w:rsidR="00E745A9" w:rsidRPr="00741073" w:rsidRDefault="00E745A9" w:rsidP="00BC7AD1">
            <w:pPr>
              <w:pStyle w:val="BodyRuller"/>
              <w:rPr>
                <w:sz w:val="18"/>
                <w:szCs w:val="24"/>
                <w:rtl/>
              </w:rPr>
            </w:pPr>
            <w:r w:rsidRPr="00741073">
              <w:rPr>
                <w:sz w:val="18"/>
                <w:szCs w:val="24"/>
                <w:rtl/>
              </w:rPr>
              <w:t>(‏</w:t>
            </w:r>
            <w:r>
              <w:rPr>
                <w:rFonts w:hint="cs"/>
                <w:sz w:val="18"/>
                <w:szCs w:val="24"/>
                <w:rtl/>
              </w:rPr>
              <w:t>26</w:t>
            </w:r>
            <w:r w:rsidRPr="00741073">
              <w:rPr>
                <w:sz w:val="18"/>
                <w:szCs w:val="24"/>
                <w:rtl/>
              </w:rPr>
              <w:t>.6.2024)</w:t>
            </w:r>
          </w:p>
        </w:tc>
      </w:tr>
    </w:tbl>
    <w:p w:rsidR="00E745A9" w:rsidRDefault="00E745A9" w:rsidP="00E745A9">
      <w:pPr>
        <w:pStyle w:val="Ruller3"/>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2"/>
        <w:gridCol w:w="5151"/>
      </w:tblGrid>
      <w:tr w:rsidR="00E745A9" w:rsidTr="00BC7AD1">
        <w:tc>
          <w:tcPr>
            <w:tcW w:w="3212" w:type="dxa"/>
            <w:tcBorders>
              <w:top w:val="nil"/>
              <w:left w:val="nil"/>
              <w:bottom w:val="nil"/>
              <w:right w:val="nil"/>
            </w:tcBorders>
          </w:tcPr>
          <w:p w:rsidR="00E745A9" w:rsidRDefault="00E745A9" w:rsidP="00BC7AD1">
            <w:pPr>
              <w:pStyle w:val="BodyRuller"/>
            </w:pPr>
            <w:r w:rsidRPr="00422DE0">
              <w:rPr>
                <w:rtl/>
              </w:rPr>
              <w:t>בשם המערער ב</w:t>
            </w:r>
            <w:r>
              <w:rPr>
                <w:rFonts w:hint="cs"/>
                <w:rtl/>
              </w:rPr>
              <w:t>-</w:t>
            </w:r>
            <w:r w:rsidRPr="00422DE0">
              <w:rPr>
                <w:rtl/>
              </w:rPr>
              <w:t>ע"פ 6692/23 והמשיב ב</w:t>
            </w:r>
            <w:r>
              <w:rPr>
                <w:rFonts w:hint="cs"/>
                <w:rtl/>
              </w:rPr>
              <w:t>-</w:t>
            </w:r>
            <w:r w:rsidRPr="00422DE0">
              <w:rPr>
                <w:rtl/>
              </w:rPr>
              <w:t>ע"פ 6708/23</w:t>
            </w:r>
            <w:r>
              <w:rPr>
                <w:rtl/>
              </w:rPr>
              <w:t>:</w:t>
            </w:r>
          </w:p>
        </w:tc>
        <w:tc>
          <w:tcPr>
            <w:tcW w:w="5151" w:type="dxa"/>
            <w:tcBorders>
              <w:top w:val="nil"/>
              <w:left w:val="nil"/>
              <w:bottom w:val="nil"/>
              <w:right w:val="nil"/>
            </w:tcBorders>
          </w:tcPr>
          <w:p w:rsidR="00E745A9" w:rsidRDefault="00E745A9" w:rsidP="00BC7AD1">
            <w:pPr>
              <w:pStyle w:val="BodyRuller"/>
              <w:rPr>
                <w:rtl/>
              </w:rPr>
            </w:pPr>
          </w:p>
          <w:p w:rsidR="00E745A9" w:rsidRDefault="00E745A9" w:rsidP="00BC7AD1">
            <w:pPr>
              <w:pStyle w:val="BodyRuller"/>
            </w:pPr>
            <w:r>
              <w:rPr>
                <w:rtl/>
              </w:rPr>
              <w:t xml:space="preserve">עו"ד </w:t>
            </w:r>
            <w:proofErr w:type="spellStart"/>
            <w:r>
              <w:rPr>
                <w:rtl/>
              </w:rPr>
              <w:t>ליאוניד</w:t>
            </w:r>
            <w:proofErr w:type="spellEnd"/>
            <w:r>
              <w:rPr>
                <w:rtl/>
              </w:rPr>
              <w:t xml:space="preserve"> </w:t>
            </w:r>
            <w:proofErr w:type="spellStart"/>
            <w:r>
              <w:rPr>
                <w:rtl/>
              </w:rPr>
              <w:t>פרחובניק</w:t>
            </w:r>
            <w:proofErr w:type="spellEnd"/>
            <w:r>
              <w:rPr>
                <w:rFonts w:hint="cs"/>
                <w:rtl/>
              </w:rPr>
              <w:t xml:space="preserve">; </w:t>
            </w:r>
            <w:r w:rsidRPr="00741073">
              <w:rPr>
                <w:rtl/>
              </w:rPr>
              <w:t xml:space="preserve">עו"ד יגאל בלפור </w:t>
            </w:r>
          </w:p>
        </w:tc>
      </w:tr>
    </w:tbl>
    <w:p w:rsidR="00E745A9" w:rsidRPr="00460C86" w:rsidRDefault="00E745A9" w:rsidP="00E745A9">
      <w:pPr>
        <w:pStyle w:val="Ruller3"/>
        <w:rPr>
          <w:sz w:val="16"/>
          <w:szCs w:val="16"/>
        </w:rPr>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3"/>
        <w:gridCol w:w="5150"/>
      </w:tblGrid>
      <w:tr w:rsidR="00E745A9" w:rsidTr="00BC7AD1">
        <w:tc>
          <w:tcPr>
            <w:tcW w:w="3213" w:type="dxa"/>
            <w:tcBorders>
              <w:top w:val="nil"/>
              <w:left w:val="nil"/>
              <w:bottom w:val="nil"/>
              <w:right w:val="nil"/>
            </w:tcBorders>
          </w:tcPr>
          <w:p w:rsidR="00E745A9" w:rsidRDefault="00E745A9" w:rsidP="00767D54">
            <w:pPr>
              <w:pStyle w:val="BodyRuller"/>
              <w:rPr>
                <w:rFonts w:ascii="David" w:hAnsi="David"/>
                <w:rtl/>
              </w:rPr>
            </w:pPr>
            <w:r>
              <w:rPr>
                <w:rtl/>
              </w:rPr>
              <w:t xml:space="preserve">בשם </w:t>
            </w:r>
            <w:r>
              <w:rPr>
                <w:rFonts w:ascii="David" w:hAnsi="David" w:hint="cs"/>
                <w:rtl/>
              </w:rPr>
              <w:t>המשיבה ב-ע"פ 6692/23</w:t>
            </w:r>
          </w:p>
          <w:p w:rsidR="00E745A9" w:rsidRDefault="00E745A9" w:rsidP="00BC7AD1">
            <w:pPr>
              <w:pStyle w:val="BodyRuller"/>
            </w:pPr>
            <w:r>
              <w:rPr>
                <w:rFonts w:ascii="David" w:hAnsi="David" w:hint="cs"/>
                <w:rtl/>
              </w:rPr>
              <w:t>ו</w:t>
            </w:r>
            <w:r w:rsidRPr="0049674B">
              <w:rPr>
                <w:rFonts w:ascii="David" w:hAnsi="David"/>
                <w:rtl/>
              </w:rPr>
              <w:t>המערערת ב</w:t>
            </w:r>
            <w:r w:rsidR="00635B07">
              <w:rPr>
                <w:rFonts w:ascii="David" w:hAnsi="David" w:hint="cs"/>
                <w:rtl/>
              </w:rPr>
              <w:t>-</w:t>
            </w:r>
            <w:r w:rsidRPr="0049674B">
              <w:rPr>
                <w:rFonts w:ascii="David" w:hAnsi="David"/>
                <w:rtl/>
              </w:rPr>
              <w:t>ע"פ 6708/23</w:t>
            </w:r>
            <w:r>
              <w:rPr>
                <w:rtl/>
              </w:rPr>
              <w:t>:</w:t>
            </w:r>
          </w:p>
        </w:tc>
        <w:tc>
          <w:tcPr>
            <w:tcW w:w="5150" w:type="dxa"/>
            <w:tcBorders>
              <w:top w:val="nil"/>
              <w:left w:val="nil"/>
              <w:bottom w:val="nil"/>
              <w:right w:val="nil"/>
            </w:tcBorders>
          </w:tcPr>
          <w:p w:rsidR="00E745A9" w:rsidRDefault="00E745A9" w:rsidP="00BC7AD1">
            <w:pPr>
              <w:pStyle w:val="BodyRuller"/>
              <w:rPr>
                <w:rtl/>
              </w:rPr>
            </w:pPr>
          </w:p>
          <w:p w:rsidR="00E745A9" w:rsidRDefault="00E745A9" w:rsidP="00BC7AD1">
            <w:pPr>
              <w:pStyle w:val="BodyRuller"/>
            </w:pPr>
            <w:r>
              <w:rPr>
                <w:rtl/>
              </w:rPr>
              <w:t xml:space="preserve">עו"ד </w:t>
            </w:r>
            <w:r>
              <w:rPr>
                <w:rFonts w:hint="cs"/>
                <w:rtl/>
              </w:rPr>
              <w:t>עדי שגב</w:t>
            </w:r>
          </w:p>
        </w:tc>
      </w:tr>
    </w:tbl>
    <w:p w:rsidR="00E745A9" w:rsidRDefault="00E745A9" w:rsidP="00E745A9">
      <w:pPr>
        <w:tabs>
          <w:tab w:val="left" w:pos="2552"/>
        </w:tabs>
        <w:rPr>
          <w:rtl/>
        </w:rPr>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3"/>
        <w:gridCol w:w="5150"/>
      </w:tblGrid>
      <w:tr w:rsidR="00E745A9" w:rsidTr="00BC7AD1">
        <w:tc>
          <w:tcPr>
            <w:tcW w:w="3213" w:type="dxa"/>
            <w:tcBorders>
              <w:top w:val="nil"/>
              <w:left w:val="nil"/>
              <w:bottom w:val="nil"/>
              <w:right w:val="nil"/>
            </w:tcBorders>
          </w:tcPr>
          <w:p w:rsidR="00E745A9" w:rsidRPr="002117F1" w:rsidRDefault="00E745A9" w:rsidP="00B83E54">
            <w:pPr>
              <w:pStyle w:val="BodyRuller"/>
              <w:rPr>
                <w:rFonts w:ascii="David" w:hAnsi="David"/>
              </w:rPr>
            </w:pPr>
            <w:r>
              <w:rPr>
                <w:rtl/>
              </w:rPr>
              <w:t xml:space="preserve">בשם </w:t>
            </w:r>
            <w:r w:rsidR="00B83E54">
              <w:rPr>
                <w:rFonts w:ascii="David" w:hAnsi="David" w:hint="cs"/>
                <w:rtl/>
              </w:rPr>
              <w:t>משפחת המנוח:</w:t>
            </w:r>
          </w:p>
        </w:tc>
        <w:tc>
          <w:tcPr>
            <w:tcW w:w="5150" w:type="dxa"/>
            <w:tcBorders>
              <w:top w:val="nil"/>
              <w:left w:val="nil"/>
              <w:bottom w:val="nil"/>
              <w:right w:val="nil"/>
            </w:tcBorders>
          </w:tcPr>
          <w:p w:rsidR="00E745A9" w:rsidRDefault="00E745A9" w:rsidP="00BC7AD1">
            <w:pPr>
              <w:pStyle w:val="BodyRuller"/>
            </w:pPr>
            <w:r>
              <w:rPr>
                <w:rtl/>
              </w:rPr>
              <w:t xml:space="preserve">עו"ד </w:t>
            </w:r>
            <w:r w:rsidR="00FF0ACF">
              <w:rPr>
                <w:rtl/>
              </w:rPr>
              <w:t xml:space="preserve">מורן </w:t>
            </w:r>
            <w:proofErr w:type="spellStart"/>
            <w:r w:rsidR="00FF0ACF">
              <w:rPr>
                <w:rtl/>
              </w:rPr>
              <w:t>נירשברג</w:t>
            </w:r>
            <w:proofErr w:type="spellEnd"/>
            <w:r w:rsidR="00FF0ACF">
              <w:rPr>
                <w:rtl/>
              </w:rPr>
              <w:t>-</w:t>
            </w:r>
            <w:r w:rsidRPr="002117F1">
              <w:rPr>
                <w:rtl/>
              </w:rPr>
              <w:t>דרורי</w:t>
            </w:r>
          </w:p>
        </w:tc>
      </w:tr>
    </w:tbl>
    <w:p w:rsidR="00E745A9" w:rsidRPr="00460C86" w:rsidRDefault="00E745A9">
      <w:pPr>
        <w:pStyle w:val="Ruller3"/>
        <w:rPr>
          <w:rFonts w:cs="Miriam"/>
          <w:b/>
          <w:bCs/>
          <w:sz w:val="16"/>
          <w:szCs w:val="16"/>
          <w:u w:val="single"/>
          <w:rtl/>
        </w:rPr>
      </w:pPr>
    </w:p>
    <w:tbl>
      <w:tblPr>
        <w:bidiVisual/>
        <w:tblW w:w="8363" w:type="dxa"/>
        <w:tblLook w:val="0000" w:firstRow="0" w:lastRow="0" w:firstColumn="0" w:lastColumn="0" w:noHBand="0" w:noVBand="0"/>
      </w:tblPr>
      <w:tblGrid>
        <w:gridCol w:w="8363"/>
      </w:tblGrid>
      <w:tr w:rsidR="00036227" w:rsidTr="00460C86">
        <w:tc>
          <w:tcPr>
            <w:tcW w:w="8363" w:type="dxa"/>
          </w:tcPr>
          <w:p w:rsidR="00916FF8" w:rsidRDefault="00A05082">
            <w:pPr>
              <w:pStyle w:val="DocumentHead"/>
            </w:pPr>
            <w:bookmarkStart w:id="2" w:name="secretary"/>
            <w:bookmarkStart w:id="3" w:name="BeginProtocol"/>
            <w:bookmarkEnd w:id="2"/>
            <w:bookmarkEnd w:id="3"/>
            <w:r>
              <w:rPr>
                <w:rtl/>
              </w:rPr>
              <w:t>פסק-דין</w:t>
            </w:r>
          </w:p>
        </w:tc>
      </w:tr>
    </w:tbl>
    <w:p w:rsidR="0065522F" w:rsidRDefault="0065522F">
      <w:pPr>
        <w:pStyle w:val="BODYVERDICT"/>
      </w:pPr>
    </w:p>
    <w:p w:rsidR="00292D3F" w:rsidRPr="00503A3E" w:rsidRDefault="00292D3F" w:rsidP="00292D3F">
      <w:pPr>
        <w:pStyle w:val="BODYVERDICT"/>
        <w:rPr>
          <w:rFonts w:cs="Miriam"/>
          <w:sz w:val="24"/>
          <w:szCs w:val="24"/>
          <w:u w:val="single"/>
          <w:rtl/>
        </w:rPr>
      </w:pPr>
      <w:bookmarkStart w:id="4" w:name="Writer_Name"/>
      <w:bookmarkEnd w:id="4"/>
      <w:r>
        <w:rPr>
          <w:rFonts w:cs="Miriam"/>
          <w:sz w:val="24"/>
          <w:szCs w:val="24"/>
          <w:u w:val="single"/>
          <w:rtl/>
        </w:rPr>
        <w:t>השופט י' אלרון:</w:t>
      </w:r>
    </w:p>
    <w:p w:rsidR="00292D3F" w:rsidRDefault="00292D3F" w:rsidP="00292D3F">
      <w:pPr>
        <w:pStyle w:val="Ruller41"/>
        <w:rPr>
          <w:rtl/>
        </w:rPr>
      </w:pPr>
      <w:bookmarkStart w:id="5" w:name="Start_Write"/>
      <w:bookmarkEnd w:id="5"/>
    </w:p>
    <w:p w:rsidR="00292D3F" w:rsidRDefault="00292D3F" w:rsidP="00F266C5">
      <w:pPr>
        <w:pStyle w:val="Ruller4"/>
        <w:rPr>
          <w:rtl/>
        </w:rPr>
      </w:pPr>
      <w:r>
        <w:rPr>
          <w:rFonts w:hint="cs"/>
          <w:rtl/>
        </w:rPr>
        <w:t xml:space="preserve">לפנינו ערעורים על גזר דינו של בית המשפט המחוזי בחיפה (השופטים </w:t>
      </w:r>
      <w:r>
        <w:rPr>
          <w:rFonts w:ascii="Century" w:hAnsi="Century" w:cs="Miriam" w:hint="cs"/>
          <w:b/>
          <w:spacing w:val="0"/>
          <w:sz w:val="22"/>
          <w:szCs w:val="24"/>
          <w:rtl/>
        </w:rPr>
        <w:t>א</w:t>
      </w:r>
      <w:r w:rsidRPr="00E21F83">
        <w:rPr>
          <w:rFonts w:ascii="Century" w:hAnsi="Century" w:cs="Miriam" w:hint="cs"/>
          <w:b/>
          <w:spacing w:val="0"/>
          <w:sz w:val="22"/>
          <w:szCs w:val="24"/>
          <w:rtl/>
        </w:rPr>
        <w:t xml:space="preserve">' </w:t>
      </w:r>
      <w:r>
        <w:rPr>
          <w:rFonts w:ascii="Century" w:hAnsi="Century" w:cs="Miriam" w:hint="cs"/>
          <w:b/>
          <w:spacing w:val="0"/>
          <w:sz w:val="22"/>
          <w:szCs w:val="24"/>
          <w:rtl/>
        </w:rPr>
        <w:t xml:space="preserve">לוי, </w:t>
      </w:r>
      <w:r w:rsidRPr="003E3D2B">
        <w:rPr>
          <w:rFonts w:ascii="Century" w:hAnsi="Century" w:cs="Miriam" w:hint="cs"/>
          <w:b/>
          <w:spacing w:val="0"/>
          <w:sz w:val="22"/>
          <w:szCs w:val="24"/>
          <w:rtl/>
        </w:rPr>
        <w:t xml:space="preserve">ע' </w:t>
      </w:r>
      <w:proofErr w:type="spellStart"/>
      <w:r w:rsidRPr="003E3D2B">
        <w:rPr>
          <w:rFonts w:ascii="Century" w:hAnsi="Century" w:cs="Miriam" w:hint="cs"/>
          <w:b/>
          <w:spacing w:val="0"/>
          <w:sz w:val="22"/>
          <w:szCs w:val="24"/>
          <w:rtl/>
        </w:rPr>
        <w:t>קוטון</w:t>
      </w:r>
      <w:proofErr w:type="spellEnd"/>
      <w:r>
        <w:rPr>
          <w:rFonts w:ascii="Century" w:hAnsi="Century" w:hint="cs"/>
          <w:sz w:val="22"/>
          <w:rtl/>
        </w:rPr>
        <w:t xml:space="preserve"> ו-</w:t>
      </w:r>
      <w:r w:rsidRPr="003E3D2B">
        <w:rPr>
          <w:rFonts w:ascii="Century" w:hAnsi="Century" w:cs="Miriam" w:hint="cs"/>
          <w:b/>
          <w:spacing w:val="0"/>
          <w:sz w:val="22"/>
          <w:szCs w:val="24"/>
          <w:rtl/>
        </w:rPr>
        <w:t xml:space="preserve">ע' </w:t>
      </w:r>
      <w:proofErr w:type="spellStart"/>
      <w:r w:rsidRPr="003E3D2B">
        <w:rPr>
          <w:rFonts w:ascii="Century" w:hAnsi="Century" w:cs="Miriam" w:hint="cs"/>
          <w:b/>
          <w:spacing w:val="0"/>
          <w:sz w:val="22"/>
          <w:szCs w:val="24"/>
          <w:rtl/>
        </w:rPr>
        <w:t>וינברגר</w:t>
      </w:r>
      <w:proofErr w:type="spellEnd"/>
      <w:r>
        <w:rPr>
          <w:rFonts w:hint="cs"/>
          <w:rtl/>
        </w:rPr>
        <w:t>) ב-תפ"ח 18956-09-21 מיום 13.6.2023, בגדרו נגזר על המערער עונש של 18 שנות מאסר בפועל, לצד ענישה נלווית. זאת, בגין הרשעתו ב</w:t>
      </w:r>
      <w:r w:rsidR="00F266C5">
        <w:rPr>
          <w:rFonts w:hint="cs"/>
          <w:rtl/>
        </w:rPr>
        <w:t>עבירת ה</w:t>
      </w:r>
      <w:r>
        <w:rPr>
          <w:rFonts w:hint="cs"/>
          <w:rtl/>
        </w:rPr>
        <w:t xml:space="preserve">רצח </w:t>
      </w:r>
      <w:r w:rsidR="00F266C5">
        <w:rPr>
          <w:rFonts w:hint="cs"/>
          <w:rtl/>
        </w:rPr>
        <w:t xml:space="preserve">הבסיסית ביסוד נפשי של </w:t>
      </w:r>
      <w:r>
        <w:rPr>
          <w:rFonts w:hint="cs"/>
          <w:rtl/>
        </w:rPr>
        <w:t xml:space="preserve">כוונה של דימיטרי </w:t>
      </w:r>
      <w:proofErr w:type="spellStart"/>
      <w:r>
        <w:rPr>
          <w:rFonts w:hint="cs"/>
          <w:rtl/>
        </w:rPr>
        <w:t>יונגרוב</w:t>
      </w:r>
      <w:proofErr w:type="spellEnd"/>
      <w:r>
        <w:rPr>
          <w:rFonts w:hint="cs"/>
          <w:rtl/>
        </w:rPr>
        <w:t xml:space="preserve"> (להלן: </w:t>
      </w:r>
      <w:r w:rsidRPr="00FA0F62">
        <w:rPr>
          <w:rFonts w:ascii="Century" w:hAnsi="Century" w:cs="Miriam" w:hint="cs"/>
          <w:b/>
          <w:spacing w:val="0"/>
          <w:sz w:val="22"/>
          <w:szCs w:val="24"/>
          <w:rtl/>
        </w:rPr>
        <w:t>המנוח</w:t>
      </w:r>
      <w:r>
        <w:rPr>
          <w:rFonts w:hint="cs"/>
          <w:rtl/>
        </w:rPr>
        <w:t xml:space="preserve">). המערער ב-ע"פ 6692/23 (להלן: </w:t>
      </w:r>
      <w:r w:rsidRPr="00A24D8E">
        <w:rPr>
          <w:rFonts w:ascii="Century" w:hAnsi="Century" w:cs="Miriam" w:hint="eastAsia"/>
          <w:b/>
          <w:spacing w:val="0"/>
          <w:sz w:val="22"/>
          <w:szCs w:val="24"/>
          <w:rtl/>
        </w:rPr>
        <w:t>המערער</w:t>
      </w:r>
      <w:r>
        <w:rPr>
          <w:rFonts w:hint="cs"/>
          <w:rtl/>
        </w:rPr>
        <w:t xml:space="preserve">) משיג על חומרת העונש; ומנגד ערעור המדינה ב-ע"פ 6708/23 נסוב על </w:t>
      </w:r>
      <w:proofErr w:type="spellStart"/>
      <w:r>
        <w:rPr>
          <w:rFonts w:hint="cs"/>
          <w:rtl/>
        </w:rPr>
        <w:t>קולתו</w:t>
      </w:r>
      <w:proofErr w:type="spellEnd"/>
      <w:r>
        <w:rPr>
          <w:rFonts w:hint="cs"/>
          <w:rtl/>
        </w:rPr>
        <w:t xml:space="preserve">. </w:t>
      </w:r>
    </w:p>
    <w:p w:rsidR="00292D3F" w:rsidRDefault="00292D3F" w:rsidP="00292D3F">
      <w:pPr>
        <w:pStyle w:val="Ruller41"/>
        <w:rPr>
          <w:rtl/>
        </w:rPr>
      </w:pPr>
    </w:p>
    <w:p w:rsidR="00292D3F" w:rsidRPr="003E3D2B" w:rsidRDefault="00292D3F" w:rsidP="00292D3F">
      <w:pPr>
        <w:pStyle w:val="Ruller41"/>
        <w:rPr>
          <w:rFonts w:ascii="Century" w:hAnsi="Century" w:cs="Miriam"/>
          <w:b/>
          <w:spacing w:val="0"/>
          <w:szCs w:val="24"/>
          <w:rtl/>
        </w:rPr>
      </w:pPr>
      <w:r>
        <w:rPr>
          <w:rFonts w:ascii="Century" w:hAnsi="Century" w:cs="Miriam" w:hint="cs"/>
          <w:b/>
          <w:spacing w:val="0"/>
          <w:szCs w:val="24"/>
          <w:rtl/>
        </w:rPr>
        <w:t>עיקרי</w:t>
      </w:r>
      <w:r w:rsidRPr="003E3D2B">
        <w:rPr>
          <w:rFonts w:ascii="Century" w:hAnsi="Century" w:cs="Miriam" w:hint="cs"/>
          <w:b/>
          <w:spacing w:val="0"/>
          <w:szCs w:val="24"/>
          <w:rtl/>
        </w:rPr>
        <w:t xml:space="preserve"> כתב האישום המתוקן </w:t>
      </w:r>
    </w:p>
    <w:p w:rsidR="00292D3F" w:rsidRDefault="00292D3F" w:rsidP="00292D3F">
      <w:pPr>
        <w:pStyle w:val="Ruller41"/>
        <w:rPr>
          <w:rtl/>
        </w:rPr>
      </w:pPr>
    </w:p>
    <w:p w:rsidR="00292D3F" w:rsidRDefault="00292D3F" w:rsidP="00292D3F">
      <w:pPr>
        <w:pStyle w:val="Ruller4"/>
        <w:rPr>
          <w:rtl/>
        </w:rPr>
      </w:pPr>
      <w:r>
        <w:rPr>
          <w:rFonts w:hint="cs"/>
          <w:rtl/>
        </w:rPr>
        <w:t xml:space="preserve">כמתואר בכתב האישום המתוקן, מתוקף עבודתו של המערער כמאבטח הוא החזיק אקדח ברישיון. לאחר שעות העבודה, אחסן את האקדח בכספת בדירה שבה התגורר יחד עם רעייתו.  </w:t>
      </w:r>
    </w:p>
    <w:p w:rsidR="00292D3F" w:rsidRDefault="00292D3F" w:rsidP="00292D3F">
      <w:pPr>
        <w:pStyle w:val="Ruller41"/>
        <w:rPr>
          <w:rtl/>
        </w:rPr>
      </w:pPr>
    </w:p>
    <w:p w:rsidR="00292D3F" w:rsidRDefault="00292D3F" w:rsidP="00292D3F">
      <w:pPr>
        <w:pStyle w:val="Ruller4"/>
        <w:rPr>
          <w:rtl/>
        </w:rPr>
      </w:pPr>
      <w:r>
        <w:rPr>
          <w:rtl/>
        </w:rPr>
        <w:tab/>
      </w:r>
      <w:r>
        <w:rPr>
          <w:rFonts w:hint="cs"/>
          <w:rtl/>
        </w:rPr>
        <w:t>בין המערער לבין המנוח היו קשרי ידידות. בעקבות כן, החל מחודש אפריל 2021, המערער אירח והלין את המנוח בדירתו, מסר לו מפתח לדירה ואף נתן לו מעת לעת סכומי כסף לשימושו. לאחר שרעיית המערער שבה מביקור בני משפחתה ברוסיה, ומשהתברר לה כי המנוח מתגורר יחד עם המערער בדירה, עברה להתגורר עם חברתה בדירה אחרת בחיפה וביקשה מהמערער שידאג לכך שהמנוח יעזוב את הדירה.</w:t>
      </w:r>
    </w:p>
    <w:p w:rsidR="00292D3F" w:rsidRDefault="00292D3F" w:rsidP="00292D3F">
      <w:pPr>
        <w:pStyle w:val="Ruller41"/>
        <w:rPr>
          <w:rtl/>
        </w:rPr>
      </w:pPr>
    </w:p>
    <w:p w:rsidR="00292D3F" w:rsidRDefault="00292D3F" w:rsidP="00292D3F">
      <w:pPr>
        <w:pStyle w:val="Ruller41"/>
        <w:rPr>
          <w:rtl/>
        </w:rPr>
      </w:pPr>
      <w:r>
        <w:rPr>
          <w:rtl/>
        </w:rPr>
        <w:tab/>
      </w:r>
      <w:r>
        <w:rPr>
          <w:rFonts w:hint="cs"/>
          <w:rtl/>
        </w:rPr>
        <w:t xml:space="preserve">בחלוף כחודש ימים, בתום תפילה בכנסיה, המערער ורעייתו נסעו לדירה. בהגיעם, המערער ביקש מרעייתו כי תמתין מחוץ לבניין בזמן שהוא עולה לדירה כדי לפעול להרחקת המנוח. המערער נכנס לדירה והחל להתעמת עם המנוח ביחס למגוריו בדירה, וכן באשר לשימוש המנוח במכשיר הטלפון הנייד של המערער. </w:t>
      </w:r>
    </w:p>
    <w:p w:rsidR="00292D3F" w:rsidRDefault="00292D3F" w:rsidP="00292D3F">
      <w:pPr>
        <w:pStyle w:val="Ruller41"/>
        <w:rPr>
          <w:rtl/>
        </w:rPr>
      </w:pPr>
    </w:p>
    <w:p w:rsidR="00292D3F" w:rsidRDefault="00292D3F" w:rsidP="00292D3F">
      <w:pPr>
        <w:pStyle w:val="Ruller41"/>
        <w:rPr>
          <w:rtl/>
        </w:rPr>
      </w:pPr>
      <w:r>
        <w:rPr>
          <w:rtl/>
        </w:rPr>
        <w:tab/>
      </w:r>
      <w:r>
        <w:rPr>
          <w:rFonts w:hint="cs"/>
          <w:rtl/>
        </w:rPr>
        <w:t>בהמשך לעימות, המערער הוציא את האקדח מהכספת, הכניס מחסנית לאקדח, דרך את האקדח ו</w:t>
      </w:r>
      <w:r w:rsidR="00F266C5">
        <w:rPr>
          <w:rFonts w:hint="cs"/>
          <w:rtl/>
        </w:rPr>
        <w:t xml:space="preserve">הניחו מתחת לכרית במיטתו. בסמוך לאחר מכן, </w:t>
      </w:r>
      <w:r>
        <w:rPr>
          <w:rFonts w:hint="cs"/>
          <w:rtl/>
        </w:rPr>
        <w:t>המנוח נכנס לחדרו של המערער, התיישב על מיטתו והמשיך להתווכח עמו. בשלב זה, נוכח התנגדותו של המנוח לעזיבת הדירה ובהמשך לעימות ביניהם, גמלה בליבו של המערער</w:t>
      </w:r>
      <w:r w:rsidR="00F266C5">
        <w:rPr>
          <w:rFonts w:hint="cs"/>
          <w:rtl/>
        </w:rPr>
        <w:t xml:space="preserve"> ההחלטה להמית את המנוח. המערער </w:t>
      </w:r>
      <w:r>
        <w:rPr>
          <w:rFonts w:hint="cs"/>
          <w:rtl/>
        </w:rPr>
        <w:t>עמד, שלף את האקדח, הצמיד את הקנה אל מרכז מצחו של המנוח "והציע לו להתפלל בטרם יירה בו", כלשון כתב האישום המתוקן. בתגובה, המנוח השיב למערער כי אינו מעוניין להתפלל. או אז, המערער ירה במרכז מצחו של המנוח, מטווח מגע, בכוונה לגרום למותו, וגרם לפציעתו האנושה.</w:t>
      </w:r>
    </w:p>
    <w:p w:rsidR="00292D3F" w:rsidRDefault="00292D3F" w:rsidP="00292D3F">
      <w:pPr>
        <w:pStyle w:val="Ruller41"/>
        <w:rPr>
          <w:rtl/>
        </w:rPr>
      </w:pPr>
    </w:p>
    <w:p w:rsidR="00292D3F" w:rsidRDefault="00292D3F" w:rsidP="00292D3F">
      <w:pPr>
        <w:pStyle w:val="Ruller41"/>
        <w:rPr>
          <w:rtl/>
        </w:rPr>
      </w:pPr>
      <w:r>
        <w:rPr>
          <w:rtl/>
        </w:rPr>
        <w:tab/>
      </w:r>
      <w:r>
        <w:rPr>
          <w:rFonts w:hint="cs"/>
          <w:rtl/>
        </w:rPr>
        <w:t>בהמשך לכך, כדי להציג מצג שווא שלפיו המנוח איים עליו באמצעות סכין עובר לירי, המערער הניח סכין מטבח על הרצפה בסמוך למקום בו שכב המנוח על המיטה. זאת ועוד, על אף שהמנוח גסס וחרחר, המערער נמנע מלהזמי</w:t>
      </w:r>
      <w:r>
        <w:rPr>
          <w:rFonts w:hint="eastAsia"/>
          <w:rtl/>
        </w:rPr>
        <w:t>ן</w:t>
      </w:r>
      <w:r>
        <w:rPr>
          <w:rFonts w:hint="cs"/>
          <w:rtl/>
        </w:rPr>
        <w:t xml:space="preserve"> את כוחות ההצלה. רק לאחר למעלה משמונה דקות, ולאחר שנועץ באשתו, המערער התקשר למשטרה ודיווח על כך שירה במנוח. בהגיע כוחות ההצלה לדירה, המנוח פונה לבית החולים במצב אנוש ושם נקבע מותו.</w:t>
      </w:r>
    </w:p>
    <w:p w:rsidR="00292D3F" w:rsidRDefault="00292D3F" w:rsidP="00292D3F">
      <w:pPr>
        <w:pStyle w:val="Ruller41"/>
        <w:rPr>
          <w:rtl/>
        </w:rPr>
      </w:pPr>
    </w:p>
    <w:p w:rsidR="00292D3F" w:rsidRPr="00A827C8" w:rsidRDefault="00292D3F" w:rsidP="00292D3F">
      <w:pPr>
        <w:pStyle w:val="Ruller41"/>
        <w:rPr>
          <w:rFonts w:ascii="Century" w:hAnsi="Century" w:cs="Miriam"/>
          <w:b/>
          <w:spacing w:val="0"/>
          <w:szCs w:val="24"/>
          <w:rtl/>
        </w:rPr>
      </w:pPr>
      <w:r w:rsidRPr="00A827C8">
        <w:rPr>
          <w:rFonts w:ascii="Century" w:hAnsi="Century" w:cs="Miriam" w:hint="cs"/>
          <w:b/>
          <w:spacing w:val="0"/>
          <w:szCs w:val="24"/>
          <w:rtl/>
        </w:rPr>
        <w:lastRenderedPageBreak/>
        <w:t>גזר דינו של בית המשפט המחוזי</w:t>
      </w:r>
    </w:p>
    <w:p w:rsidR="00292D3F" w:rsidRDefault="00292D3F" w:rsidP="00292D3F">
      <w:pPr>
        <w:pStyle w:val="Ruller41"/>
        <w:rPr>
          <w:rtl/>
        </w:rPr>
      </w:pPr>
    </w:p>
    <w:p w:rsidR="00292D3F" w:rsidRDefault="00292D3F" w:rsidP="00292D3F">
      <w:pPr>
        <w:pStyle w:val="Ruller4"/>
        <w:rPr>
          <w:rtl/>
        </w:rPr>
      </w:pPr>
      <w:r>
        <w:rPr>
          <w:rFonts w:hint="cs"/>
          <w:rtl/>
        </w:rPr>
        <w:t xml:space="preserve">בתום הליך הוכחות ממושך ומקיף ולאחר עדות המערער ועדי ההגנה מטעמו, הוסכם בין הצדדים על תיקון כתב האישום ועל הודאתו של המערער ברצח המנוח. בהתאם, המערער הורשע על פי הודאתו בעבירת רצח לפי סעיף 300(א) לחוק העונשין, התשל"ז-1977 (להלן: </w:t>
      </w:r>
      <w:r w:rsidRPr="00A827C8">
        <w:rPr>
          <w:rFonts w:ascii="Century" w:hAnsi="Century" w:cs="Miriam" w:hint="cs"/>
          <w:b/>
          <w:spacing w:val="0"/>
          <w:sz w:val="22"/>
          <w:szCs w:val="24"/>
          <w:rtl/>
        </w:rPr>
        <w:t>החוק</w:t>
      </w:r>
      <w:r>
        <w:rPr>
          <w:rFonts w:hint="cs"/>
          <w:rtl/>
        </w:rPr>
        <w:t xml:space="preserve">) ביסוד נפשי של כוונה; וכן בעבירת שיבוש מהלכי משפט לפי סעיף 244 לחוק. </w:t>
      </w:r>
    </w:p>
    <w:p w:rsidR="00292D3F" w:rsidRDefault="00292D3F" w:rsidP="00292D3F">
      <w:pPr>
        <w:pStyle w:val="Ruller41"/>
        <w:rPr>
          <w:rtl/>
        </w:rPr>
      </w:pPr>
    </w:p>
    <w:p w:rsidR="00292D3F" w:rsidRDefault="00292D3F" w:rsidP="00292D3F">
      <w:pPr>
        <w:pStyle w:val="Ruller4"/>
        <w:rPr>
          <w:rtl/>
        </w:rPr>
      </w:pPr>
      <w:r>
        <w:rPr>
          <w:rFonts w:hint="cs"/>
          <w:rtl/>
        </w:rPr>
        <w:t xml:space="preserve">בגזר דינו, בית המשפט המחוזי סקר את הרפורמה בעבירות ההמתה </w:t>
      </w:r>
      <w:r w:rsidRPr="00A24D8E">
        <w:rPr>
          <w:rtl/>
        </w:rPr>
        <w:t xml:space="preserve">(חוק העונשין (תיקון מס' 137), התשע"ט-2019, ס"ח 230) </w:t>
      </w:r>
      <w:r w:rsidRPr="003265AF">
        <w:rPr>
          <w:rtl/>
        </w:rPr>
        <w:t>(</w:t>
      </w:r>
      <w:r w:rsidRPr="003265AF">
        <w:rPr>
          <w:rFonts w:hint="eastAsia"/>
          <w:rtl/>
        </w:rPr>
        <w:t>להלן</w:t>
      </w:r>
      <w:r w:rsidRPr="003265AF">
        <w:rPr>
          <w:rtl/>
        </w:rPr>
        <w:t xml:space="preserve">: </w:t>
      </w:r>
      <w:r w:rsidRPr="003265AF">
        <w:rPr>
          <w:rFonts w:ascii="Century" w:hAnsi="Century" w:cs="Miriam" w:hint="eastAsia"/>
          <w:b/>
          <w:spacing w:val="0"/>
          <w:sz w:val="22"/>
          <w:szCs w:val="24"/>
          <w:rtl/>
        </w:rPr>
        <w:t>הרפורמה</w:t>
      </w:r>
      <w:r w:rsidRPr="003265AF">
        <w:rPr>
          <w:rFonts w:ascii="Century" w:hAnsi="Century" w:cs="Miriam"/>
          <w:b/>
          <w:spacing w:val="0"/>
          <w:sz w:val="22"/>
          <w:szCs w:val="24"/>
          <w:rtl/>
        </w:rPr>
        <w:t xml:space="preserve"> </w:t>
      </w:r>
      <w:r w:rsidRPr="003265AF">
        <w:rPr>
          <w:rFonts w:ascii="Century" w:hAnsi="Century" w:cs="Miriam" w:hint="eastAsia"/>
          <w:b/>
          <w:spacing w:val="0"/>
          <w:sz w:val="22"/>
          <w:szCs w:val="24"/>
          <w:rtl/>
        </w:rPr>
        <w:t>בעבירות</w:t>
      </w:r>
      <w:r w:rsidRPr="003265AF">
        <w:rPr>
          <w:rFonts w:ascii="Century" w:hAnsi="Century" w:cs="Miriam"/>
          <w:b/>
          <w:spacing w:val="0"/>
          <w:sz w:val="22"/>
          <w:szCs w:val="24"/>
          <w:rtl/>
        </w:rPr>
        <w:t xml:space="preserve"> </w:t>
      </w:r>
      <w:r w:rsidRPr="003265AF">
        <w:rPr>
          <w:rFonts w:ascii="Century" w:hAnsi="Century" w:cs="Miriam" w:hint="eastAsia"/>
          <w:b/>
          <w:spacing w:val="0"/>
          <w:sz w:val="22"/>
          <w:szCs w:val="24"/>
          <w:rtl/>
        </w:rPr>
        <w:t>ההמתה</w:t>
      </w:r>
      <w:r w:rsidRPr="003265AF">
        <w:rPr>
          <w:rtl/>
        </w:rPr>
        <w:t xml:space="preserve"> </w:t>
      </w:r>
      <w:r w:rsidRPr="003265AF">
        <w:rPr>
          <w:rFonts w:hint="eastAsia"/>
          <w:rtl/>
        </w:rPr>
        <w:t>או</w:t>
      </w:r>
      <w:r w:rsidRPr="003265AF">
        <w:rPr>
          <w:rtl/>
        </w:rPr>
        <w:t xml:space="preserve"> </w:t>
      </w:r>
      <w:r w:rsidRPr="003265AF">
        <w:rPr>
          <w:rFonts w:ascii="Century" w:hAnsi="Century" w:cs="Miriam" w:hint="eastAsia"/>
          <w:b/>
          <w:spacing w:val="0"/>
          <w:sz w:val="22"/>
          <w:szCs w:val="24"/>
          <w:rtl/>
        </w:rPr>
        <w:t>הרפורמה</w:t>
      </w:r>
      <w:r>
        <w:rPr>
          <w:rtl/>
        </w:rPr>
        <w:t>)</w:t>
      </w:r>
      <w:r>
        <w:rPr>
          <w:rFonts w:hint="cs"/>
          <w:rtl/>
        </w:rPr>
        <w:t xml:space="preserve">, את השינויים במדיניות הענישה בעקבותיה וכן את אמות המידה לקביעת עונשו של רוצח </w:t>
      </w:r>
      <w:r>
        <w:rPr>
          <w:rtl/>
        </w:rPr>
        <w:t>–</w:t>
      </w:r>
      <w:r>
        <w:rPr>
          <w:rFonts w:hint="cs"/>
          <w:rtl/>
        </w:rPr>
        <w:t xml:space="preserve"> לאחר הרפורמה. בצד זאת, בפתח גזר הדין הודגש כי "עניין לנו במקרה מיוחד במינו שלו נסיבות ייחודיות ויוצאות דופן [...] [ה]מחייבות קביעת מתחם יוצא דופן אשר איננו בהכרח תואם את המתחמים שנקבעו עד כה עת נדונו מעשי רצח (בסיסי) המלווה ביסוד נפשי של כוונה".</w:t>
      </w:r>
    </w:p>
    <w:p w:rsidR="00292D3F" w:rsidRDefault="00292D3F" w:rsidP="00292D3F">
      <w:pPr>
        <w:pStyle w:val="Ruller41"/>
        <w:rPr>
          <w:rtl/>
        </w:rPr>
      </w:pPr>
    </w:p>
    <w:p w:rsidR="00292D3F" w:rsidRDefault="00292D3F" w:rsidP="00292D3F">
      <w:pPr>
        <w:pStyle w:val="Ruller41"/>
        <w:rPr>
          <w:rtl/>
        </w:rPr>
      </w:pPr>
      <w:r>
        <w:rPr>
          <w:rtl/>
        </w:rPr>
        <w:tab/>
      </w:r>
      <w:r>
        <w:rPr>
          <w:rFonts w:hint="cs"/>
          <w:rtl/>
        </w:rPr>
        <w:t xml:space="preserve">בהתאם, בקביעת מתחם העונש ההולם, בית המשפט המחוזי פירט כי המערער, מטוב לבו בלבד, הסכים לארח בביתו את המנוח, אסיר משוחרר וחסר בית הסובל מהתמכרות לחומרים פסיכו-אקטיביים. אלא שנוכחותו של המנוח בדירת המערער הייתה "לצנינים בעיניו" ועוד יותר בעיני אשתו, אשר נאלצה למצוא לעצמה מקום מגורים חלופי משניסיונות לפנות את המנוח מהדירה </w:t>
      </w:r>
      <w:r>
        <w:rPr>
          <w:rtl/>
        </w:rPr>
        <w:t>–</w:t>
      </w:r>
      <w:r>
        <w:rPr>
          <w:rFonts w:hint="cs"/>
          <w:rtl/>
        </w:rPr>
        <w:t xml:space="preserve"> לא הועילו. נקבע כי "התגרותו המתמשכת" של המנוח במערער, כלשון בית משפט קמא, קלעו את המערער למצוקה נפשית, לתחושת חוסר אונים וחוסר ישע, אשר השפיעו על יכולתו להימנע מרצח המנוח. הודגש כי אמנם אין בהתנהלות המנוח כדי להצדיק את מעשה הרצח, אולם יש בה כדי לשפוך אור על הנסיבות שהובילו את המערער לבצע את מעשה ההמתה מתוך "היעדר מוחלט של שיקול דעת". בית המשפט המחוזי התחשב בנסיבות אלו במסגרת סעיפים 40ט(א)(5), (7) ו-(8) לחוק, ובשים לב למדיניות הענישה הנהוגה קבע כי מתחם העונש ההולם הוא בין 22 ל-25 שנות מאסר בפועל.</w:t>
      </w:r>
    </w:p>
    <w:p w:rsidR="00292D3F" w:rsidRDefault="00292D3F" w:rsidP="00292D3F">
      <w:pPr>
        <w:pStyle w:val="Ruller41"/>
        <w:rPr>
          <w:rtl/>
        </w:rPr>
      </w:pPr>
    </w:p>
    <w:p w:rsidR="00292D3F" w:rsidRDefault="00292D3F" w:rsidP="004A5146">
      <w:pPr>
        <w:pStyle w:val="Ruller4"/>
        <w:rPr>
          <w:rtl/>
        </w:rPr>
      </w:pPr>
      <w:r>
        <w:rPr>
          <w:rFonts w:hint="cs"/>
          <w:rtl/>
        </w:rPr>
        <w:t>לאחר זאת, בית המשפט המחוזי התחשב, בין היתר, ב</w:t>
      </w:r>
      <w:r w:rsidR="00F266C5">
        <w:rPr>
          <w:rFonts w:hint="cs"/>
          <w:rtl/>
        </w:rPr>
        <w:t xml:space="preserve">היות </w:t>
      </w:r>
      <w:r>
        <w:rPr>
          <w:rFonts w:hint="cs"/>
          <w:rtl/>
        </w:rPr>
        <w:t xml:space="preserve">המערער נעדר עבר פלילי; </w:t>
      </w:r>
      <w:r w:rsidR="004A5146">
        <w:rPr>
          <w:rFonts w:hint="cs"/>
          <w:rtl/>
        </w:rPr>
        <w:t xml:space="preserve">הודייתו </w:t>
      </w:r>
      <w:r>
        <w:rPr>
          <w:rFonts w:hint="cs"/>
          <w:rtl/>
        </w:rPr>
        <w:t xml:space="preserve">בביצוע מעשה הרצח </w:t>
      </w:r>
      <w:r w:rsidR="004A5146">
        <w:rPr>
          <w:rFonts w:hint="cs"/>
          <w:rtl/>
        </w:rPr>
        <w:t>ו</w:t>
      </w:r>
      <w:r>
        <w:rPr>
          <w:rFonts w:hint="cs"/>
          <w:rtl/>
        </w:rPr>
        <w:t>נט</w:t>
      </w:r>
      <w:r w:rsidR="004A5146">
        <w:rPr>
          <w:rFonts w:hint="cs"/>
          <w:rtl/>
        </w:rPr>
        <w:t>י</w:t>
      </w:r>
      <w:r>
        <w:rPr>
          <w:rFonts w:hint="cs"/>
          <w:rtl/>
        </w:rPr>
        <w:t>ל</w:t>
      </w:r>
      <w:r w:rsidR="004A5146">
        <w:rPr>
          <w:rFonts w:hint="cs"/>
          <w:rtl/>
        </w:rPr>
        <w:t>ת</w:t>
      </w:r>
      <w:r>
        <w:rPr>
          <w:rFonts w:hint="cs"/>
          <w:rtl/>
        </w:rPr>
        <w:t xml:space="preserve"> אחריות </w:t>
      </w:r>
      <w:r w:rsidR="004A5146">
        <w:rPr>
          <w:rFonts w:hint="cs"/>
          <w:rtl/>
        </w:rPr>
        <w:t xml:space="preserve">מצדו </w:t>
      </w:r>
      <w:r>
        <w:rPr>
          <w:rFonts w:hint="cs"/>
          <w:rtl/>
        </w:rPr>
        <w:t xml:space="preserve">על מעשיו; ובכך שרעייתו ניצבת בפני גירוש מהארץ באופן שיכביד על נשיאת עונש מאסר על ידו. מלבד האמור, לצורך גזירת עונשו של המערער, ניתן </w:t>
      </w:r>
      <w:r w:rsidRPr="0081350F">
        <w:rPr>
          <w:rFonts w:hint="cs"/>
          <w:rtl/>
        </w:rPr>
        <w:t xml:space="preserve">משקל רב </w:t>
      </w:r>
      <w:r w:rsidRPr="00A24D8E">
        <w:rPr>
          <w:rFonts w:hint="eastAsia"/>
          <w:rtl/>
        </w:rPr>
        <w:t>ל</w:t>
      </w:r>
      <w:r>
        <w:rPr>
          <w:rFonts w:hint="cs"/>
          <w:rtl/>
        </w:rPr>
        <w:t>"</w:t>
      </w:r>
      <w:r w:rsidRPr="00A24D8E">
        <w:rPr>
          <w:rFonts w:hint="eastAsia"/>
          <w:rtl/>
        </w:rPr>
        <w:t>מצבו</w:t>
      </w:r>
      <w:r w:rsidRPr="00A24D8E">
        <w:rPr>
          <w:rtl/>
        </w:rPr>
        <w:t xml:space="preserve"> </w:t>
      </w:r>
      <w:r w:rsidRPr="00A24D8E">
        <w:rPr>
          <w:rFonts w:hint="eastAsia"/>
          <w:rtl/>
        </w:rPr>
        <w:t>הרפואי</w:t>
      </w:r>
      <w:r w:rsidRPr="00A24D8E">
        <w:rPr>
          <w:rtl/>
        </w:rPr>
        <w:t xml:space="preserve"> </w:t>
      </w:r>
      <w:r w:rsidRPr="00A24D8E">
        <w:rPr>
          <w:rFonts w:hint="eastAsia"/>
          <w:rtl/>
        </w:rPr>
        <w:t>הקשה</w:t>
      </w:r>
      <w:r>
        <w:rPr>
          <w:rFonts w:hint="cs"/>
          <w:rtl/>
        </w:rPr>
        <w:t>"</w:t>
      </w:r>
      <w:r w:rsidRPr="0081350F">
        <w:rPr>
          <w:rFonts w:hint="cs"/>
          <w:rtl/>
        </w:rPr>
        <w:t xml:space="preserve">, אשר </w:t>
      </w:r>
      <w:r>
        <w:rPr>
          <w:rFonts w:hint="cs"/>
          <w:rtl/>
        </w:rPr>
        <w:t xml:space="preserve">מצדיק, לשיטת בית משפט קמא, הקלה בעונשו. כעולה מהתיעוד הרפואי שהוגש לפני בית משפט </w:t>
      </w:r>
      <w:r>
        <w:rPr>
          <w:rFonts w:hint="cs"/>
          <w:rtl/>
        </w:rPr>
        <w:lastRenderedPageBreak/>
        <w:t>קמא, המערער סובל ממספר בעיות רפואיות קשות, בעלות השלכה ממשית על איכות חייו. פורט, כי לאחר מעצרו, התגלה כי הוא סובל ממצב של דימום מוח כרוני אשר הצריך ניתוח לניקוז הדימום. לאחר חודש, המערער נפל במקלחת מגובה עמידה ונגרם לו שבר של צוואר הירך משמאל, אשר הצריך אף הוא ניתוח. כמו כן, המערער סובל מאי-שליטה על הסוגרים ובשל כך שירות בתי הסוהר מספק לו חיתולים. דבר זה גורם לו לאי-נוחות ומהווה מקור להשפלה ולעג מהסובבים אותו. נוסף לכל, צוין בגזר הדין כי המערער סובל גם ממחלת ריאות חסימתית.</w:t>
      </w:r>
    </w:p>
    <w:p w:rsidR="00292D3F" w:rsidRDefault="00292D3F" w:rsidP="00292D3F">
      <w:pPr>
        <w:pStyle w:val="Ruller41"/>
        <w:rPr>
          <w:rtl/>
        </w:rPr>
      </w:pPr>
    </w:p>
    <w:p w:rsidR="00292D3F" w:rsidRDefault="00292D3F" w:rsidP="00292D3F">
      <w:pPr>
        <w:pStyle w:val="Ruller41"/>
        <w:rPr>
          <w:rtl/>
        </w:rPr>
      </w:pPr>
      <w:r>
        <w:rPr>
          <w:rtl/>
        </w:rPr>
        <w:tab/>
      </w:r>
      <w:r>
        <w:rPr>
          <w:rFonts w:hint="cs"/>
          <w:rtl/>
        </w:rPr>
        <w:t>לנוכח מצבו הרפואי החמור, כפי שתואר בגזר הדין, בית המשפט המחוזי מצא לחרוג לקולה ממתחם העונש ההולם ולגזור על המערער עונש מאסר אשר יותיר "</w:t>
      </w:r>
      <w:r w:rsidRPr="00A24D8E">
        <w:rPr>
          <w:rFonts w:ascii="Century" w:hAnsi="Century" w:cs="Miriam" w:hint="eastAsia"/>
          <w:b/>
          <w:spacing w:val="0"/>
          <w:szCs w:val="24"/>
          <w:rtl/>
        </w:rPr>
        <w:t>פתח</w:t>
      </w:r>
      <w:r w:rsidRPr="00A24D8E">
        <w:rPr>
          <w:rFonts w:ascii="Century" w:hAnsi="Century" w:cs="Miriam"/>
          <w:b/>
          <w:spacing w:val="0"/>
          <w:szCs w:val="24"/>
          <w:rtl/>
        </w:rPr>
        <w:t xml:space="preserve"> צר לתקווה שהנאשם [המערער – </w:t>
      </w:r>
      <w:r w:rsidRPr="0081350F">
        <w:rPr>
          <w:rFonts w:ascii="Century" w:hAnsi="Century" w:cs="Miriam" w:hint="cs"/>
          <w:b/>
          <w:spacing w:val="0"/>
          <w:szCs w:val="24"/>
          <w:rtl/>
        </w:rPr>
        <w:t>י' א'</w:t>
      </w:r>
      <w:r w:rsidRPr="00A24D8E">
        <w:rPr>
          <w:rFonts w:ascii="Century" w:hAnsi="Century" w:cs="Miriam"/>
          <w:b/>
          <w:spacing w:val="0"/>
          <w:szCs w:val="24"/>
          <w:rtl/>
        </w:rPr>
        <w:t xml:space="preserve">] </w:t>
      </w:r>
      <w:r w:rsidRPr="00A24D8E">
        <w:rPr>
          <w:rFonts w:ascii="Century" w:hAnsi="Century" w:cs="Miriam" w:hint="eastAsia"/>
          <w:b/>
          <w:spacing w:val="0"/>
          <w:szCs w:val="24"/>
          <w:rtl/>
        </w:rPr>
        <w:t>ישתחרר</w:t>
      </w:r>
      <w:r w:rsidRPr="00A24D8E">
        <w:rPr>
          <w:rFonts w:ascii="Century" w:hAnsi="Century" w:cs="Miriam"/>
          <w:b/>
          <w:spacing w:val="0"/>
          <w:szCs w:val="24"/>
          <w:rtl/>
        </w:rPr>
        <w:t xml:space="preserve"> </w:t>
      </w:r>
      <w:r w:rsidRPr="00A24D8E">
        <w:rPr>
          <w:rFonts w:ascii="Century" w:hAnsi="Century" w:cs="Miriam" w:hint="eastAsia"/>
          <w:b/>
          <w:spacing w:val="0"/>
          <w:szCs w:val="24"/>
          <w:rtl/>
        </w:rPr>
        <w:t>מכלאו</w:t>
      </w:r>
      <w:r w:rsidRPr="00A24D8E">
        <w:rPr>
          <w:rFonts w:ascii="Century" w:hAnsi="Century" w:cs="Miriam"/>
          <w:b/>
          <w:spacing w:val="0"/>
          <w:szCs w:val="24"/>
          <w:rtl/>
        </w:rPr>
        <w:t xml:space="preserve"> </w:t>
      </w:r>
      <w:r w:rsidRPr="00A24D8E">
        <w:rPr>
          <w:rFonts w:ascii="Century" w:hAnsi="Century" w:cs="Miriam" w:hint="eastAsia"/>
          <w:b/>
          <w:spacing w:val="0"/>
          <w:szCs w:val="24"/>
          <w:rtl/>
        </w:rPr>
        <w:t>ולא</w:t>
      </w:r>
      <w:r w:rsidRPr="00A24D8E">
        <w:rPr>
          <w:rFonts w:ascii="Century" w:hAnsi="Century" w:cs="Miriam"/>
          <w:b/>
          <w:spacing w:val="0"/>
          <w:szCs w:val="24"/>
          <w:rtl/>
        </w:rPr>
        <w:t xml:space="preserve"> </w:t>
      </w:r>
      <w:r w:rsidRPr="00A24D8E">
        <w:rPr>
          <w:rFonts w:ascii="Century" w:hAnsi="Century" w:cs="Miriam" w:hint="eastAsia"/>
          <w:b/>
          <w:spacing w:val="0"/>
          <w:szCs w:val="24"/>
          <w:rtl/>
        </w:rPr>
        <w:t>יקיץ</w:t>
      </w:r>
      <w:r w:rsidRPr="00A24D8E">
        <w:rPr>
          <w:rFonts w:ascii="Century" w:hAnsi="Century" w:cs="Miriam"/>
          <w:b/>
          <w:spacing w:val="0"/>
          <w:szCs w:val="24"/>
          <w:rtl/>
        </w:rPr>
        <w:t xml:space="preserve"> </w:t>
      </w:r>
      <w:r w:rsidRPr="00A24D8E">
        <w:rPr>
          <w:rFonts w:ascii="Century" w:hAnsi="Century" w:cs="Miriam" w:hint="eastAsia"/>
          <w:b/>
          <w:spacing w:val="0"/>
          <w:szCs w:val="24"/>
          <w:rtl/>
        </w:rPr>
        <w:t>ימיו</w:t>
      </w:r>
      <w:r w:rsidRPr="00A24D8E">
        <w:rPr>
          <w:rFonts w:ascii="Century" w:hAnsi="Century" w:cs="Miriam"/>
          <w:b/>
          <w:spacing w:val="0"/>
          <w:szCs w:val="24"/>
          <w:rtl/>
        </w:rPr>
        <w:t xml:space="preserve"> </w:t>
      </w:r>
      <w:r w:rsidRPr="00A24D8E">
        <w:rPr>
          <w:rFonts w:ascii="Century" w:hAnsi="Century" w:cs="Miriam" w:hint="eastAsia"/>
          <w:b/>
          <w:spacing w:val="0"/>
          <w:szCs w:val="24"/>
          <w:rtl/>
        </w:rPr>
        <w:t>מאחורי</w:t>
      </w:r>
      <w:r w:rsidRPr="00A24D8E">
        <w:rPr>
          <w:rFonts w:ascii="Century" w:hAnsi="Century" w:cs="Miriam"/>
          <w:b/>
          <w:spacing w:val="0"/>
          <w:szCs w:val="24"/>
          <w:rtl/>
        </w:rPr>
        <w:t xml:space="preserve"> </w:t>
      </w:r>
      <w:r w:rsidRPr="00A24D8E">
        <w:rPr>
          <w:rFonts w:ascii="Century" w:hAnsi="Century" w:cs="Miriam" w:hint="eastAsia"/>
          <w:b/>
          <w:spacing w:val="0"/>
          <w:szCs w:val="24"/>
          <w:rtl/>
        </w:rPr>
        <w:t>סורג</w:t>
      </w:r>
      <w:r w:rsidRPr="00A24D8E">
        <w:rPr>
          <w:rFonts w:ascii="Century" w:hAnsi="Century" w:cs="Miriam"/>
          <w:b/>
          <w:spacing w:val="0"/>
          <w:szCs w:val="24"/>
          <w:rtl/>
        </w:rPr>
        <w:t xml:space="preserve"> </w:t>
      </w:r>
      <w:r w:rsidRPr="00A24D8E">
        <w:rPr>
          <w:rFonts w:ascii="Century" w:hAnsi="Century" w:cs="Miriam" w:hint="eastAsia"/>
          <w:b/>
          <w:spacing w:val="0"/>
          <w:szCs w:val="24"/>
          <w:rtl/>
        </w:rPr>
        <w:t>ובריח</w:t>
      </w:r>
      <w:r>
        <w:rPr>
          <w:rFonts w:hint="cs"/>
          <w:rtl/>
        </w:rPr>
        <w:t xml:space="preserve">". </w:t>
      </w:r>
    </w:p>
    <w:p w:rsidR="00292D3F" w:rsidRDefault="00292D3F" w:rsidP="00292D3F">
      <w:pPr>
        <w:pStyle w:val="Ruller41"/>
        <w:rPr>
          <w:rtl/>
        </w:rPr>
      </w:pPr>
    </w:p>
    <w:p w:rsidR="00292D3F" w:rsidRDefault="00292D3F" w:rsidP="00292D3F">
      <w:pPr>
        <w:pStyle w:val="Ruller41"/>
        <w:rPr>
          <w:rtl/>
        </w:rPr>
      </w:pPr>
      <w:r>
        <w:rPr>
          <w:rtl/>
        </w:rPr>
        <w:tab/>
      </w:r>
      <w:r>
        <w:rPr>
          <w:rFonts w:hint="cs"/>
          <w:rtl/>
        </w:rPr>
        <w:t xml:space="preserve">מנימוקים אלו, על המערער נגזר עונש של 18 שנות מאסר בפועל מאחורי סורג ובריח; 24 חודשי מאסר על תנאי, לבל יעבור עבירת אלימות מסוג פשע, במשך 3 שנים; 6 חודשי מאסר על תנאי, לבל יעבור עבירת שיבוש מהלכי משפט, במשך 3 שנים; ופיצוי בסך 120,000 ש"ח לאמו ואחותו של המנוח. </w:t>
      </w:r>
    </w:p>
    <w:p w:rsidR="00292D3F" w:rsidRPr="00E916B6" w:rsidRDefault="00292D3F" w:rsidP="00292D3F">
      <w:pPr>
        <w:pStyle w:val="Ruller41"/>
        <w:rPr>
          <w:rtl/>
        </w:rPr>
      </w:pPr>
    </w:p>
    <w:p w:rsidR="00292D3F" w:rsidRPr="001703BE" w:rsidRDefault="00292D3F" w:rsidP="00292D3F">
      <w:pPr>
        <w:pStyle w:val="Ruller41"/>
        <w:rPr>
          <w:rFonts w:ascii="Century" w:hAnsi="Century" w:cs="Miriam"/>
          <w:b/>
          <w:spacing w:val="0"/>
          <w:szCs w:val="24"/>
          <w:rtl/>
        </w:rPr>
      </w:pPr>
      <w:r w:rsidRPr="001703BE">
        <w:rPr>
          <w:rFonts w:ascii="Century" w:hAnsi="Century" w:cs="Miriam" w:hint="cs"/>
          <w:b/>
          <w:spacing w:val="0"/>
          <w:szCs w:val="24"/>
          <w:rtl/>
        </w:rPr>
        <w:t xml:space="preserve">טענות הצדדים בערעורים </w:t>
      </w:r>
    </w:p>
    <w:p w:rsidR="00292D3F" w:rsidRDefault="00292D3F" w:rsidP="00292D3F">
      <w:pPr>
        <w:pStyle w:val="Ruller41"/>
        <w:rPr>
          <w:rtl/>
        </w:rPr>
      </w:pPr>
    </w:p>
    <w:p w:rsidR="00292D3F" w:rsidRDefault="00292D3F" w:rsidP="00292D3F">
      <w:pPr>
        <w:pStyle w:val="Ruller4"/>
        <w:rPr>
          <w:rtl/>
        </w:rPr>
      </w:pPr>
      <w:r>
        <w:rPr>
          <w:rFonts w:hint="cs"/>
          <w:rtl/>
        </w:rPr>
        <w:t xml:space="preserve">לטענת המערער, העונש שנגזר עליו חמור יתר על המידה ואינו מתחשב כראוי בנסיבות הייחודיות של ביצוע העבירה, ובעיקר במצוקה המתמשכת שהמנוח הסב לו עובר לרצח. כן נטען כי העונש שנגזר עליו אינו נותן משקל מספק למצבו הרפואי </w:t>
      </w:r>
      <w:r w:rsidRPr="004E797E">
        <w:rPr>
          <w:rFonts w:ascii="Century" w:hAnsi="Century" w:hint="cs"/>
          <w:sz w:val="22"/>
          <w:rtl/>
        </w:rPr>
        <w:t>החמור ביותר</w:t>
      </w:r>
      <w:r>
        <w:rPr>
          <w:rFonts w:hint="cs"/>
          <w:rtl/>
        </w:rPr>
        <w:t xml:space="preserve">. על כן, מבוקש כי חלף עונש זה, יושת עליו עונש </w:t>
      </w:r>
      <w:r w:rsidRPr="004A5F43">
        <w:rPr>
          <w:rFonts w:ascii="Century" w:hAnsi="Century" w:hint="cs"/>
          <w:sz w:val="22"/>
          <w:rtl/>
        </w:rPr>
        <w:t>הנמוך מ-10 שנות מאסר בפועל</w:t>
      </w:r>
      <w:r>
        <w:rPr>
          <w:rFonts w:hint="cs"/>
          <w:rtl/>
        </w:rPr>
        <w:t xml:space="preserve">. בנוסף, המערער מלין על גובה הפיצוי שנפסק לחובתו, הואיל ולטענתו חי בצמצום רב עוד בטרם הרצח, ואילו סכום החוב שנפסק יקשה על השתלבותו בחברה עם שחרורו. </w:t>
      </w:r>
    </w:p>
    <w:p w:rsidR="00292D3F" w:rsidRDefault="00292D3F" w:rsidP="00292D3F">
      <w:pPr>
        <w:pStyle w:val="Ruller41"/>
        <w:rPr>
          <w:rtl/>
        </w:rPr>
      </w:pPr>
    </w:p>
    <w:p w:rsidR="00292D3F" w:rsidRDefault="00292D3F" w:rsidP="00292D3F">
      <w:pPr>
        <w:pStyle w:val="Ruller41"/>
        <w:rPr>
          <w:rtl/>
        </w:rPr>
      </w:pPr>
      <w:r>
        <w:rPr>
          <w:rtl/>
        </w:rPr>
        <w:tab/>
      </w:r>
      <w:r>
        <w:rPr>
          <w:rFonts w:hint="cs"/>
          <w:rtl/>
        </w:rPr>
        <w:t xml:space="preserve">בהתייחס לקביעת מתחם העונש ההולם, נטען כי נסיבות הרצח מלמדות על כך שמידת האשם של </w:t>
      </w:r>
      <w:r w:rsidRPr="00136039">
        <w:rPr>
          <w:rFonts w:ascii="Century" w:hAnsi="Century" w:hint="cs"/>
          <w:rtl/>
        </w:rPr>
        <w:t>המערער נמוכה באופן משמעותי</w:t>
      </w:r>
      <w:r w:rsidRPr="00136039">
        <w:rPr>
          <w:rFonts w:ascii="Century" w:hAnsi="Century" w:cs="Miriam" w:hint="cs"/>
          <w:b/>
          <w:spacing w:val="0"/>
          <w:szCs w:val="24"/>
          <w:rtl/>
        </w:rPr>
        <w:t xml:space="preserve"> </w:t>
      </w:r>
      <w:r>
        <w:rPr>
          <w:rFonts w:hint="cs"/>
          <w:rtl/>
        </w:rPr>
        <w:t>מ</w:t>
      </w:r>
      <w:r w:rsidR="00F266C5">
        <w:rPr>
          <w:rFonts w:hint="cs"/>
          <w:rtl/>
        </w:rPr>
        <w:t>אשר במקרים אחרים של עבירת הרצח הבסיסית</w:t>
      </w:r>
      <w:r>
        <w:rPr>
          <w:rFonts w:hint="cs"/>
          <w:rtl/>
        </w:rPr>
        <w:t xml:space="preserve">. בהקשר זה, המערער סומך ידיו על קביעות בית משפט קמא כי מעשה ההמתה בוצע באופן ספונטאני בעקבות ויכוח בינו לבין המנוח על רקע סירובו של האחרון לעזוב את הדירה, ובהינתן המצוקה וחוסר האונים של המערער אשר הובילו אותו לאובדן עשתונות במסגרתו ביצע את הרצח. לנוכח הנסיבות הייחודיות של מעשה העבירה, נטען כי מידת האשם של המערער מובילה לכך שראוי כי מתחם העונש ההולם בעניינו ייקבע בין 10 ל-17 שנות מאסר בפועל. </w:t>
      </w:r>
    </w:p>
    <w:p w:rsidR="00292D3F" w:rsidRDefault="00292D3F" w:rsidP="00292D3F">
      <w:pPr>
        <w:pStyle w:val="Ruller41"/>
        <w:rPr>
          <w:rtl/>
        </w:rPr>
      </w:pPr>
    </w:p>
    <w:p w:rsidR="00292D3F" w:rsidRDefault="00292D3F" w:rsidP="007A4760">
      <w:pPr>
        <w:pStyle w:val="Ruller41"/>
        <w:rPr>
          <w:rtl/>
        </w:rPr>
      </w:pPr>
      <w:r>
        <w:rPr>
          <w:rtl/>
        </w:rPr>
        <w:tab/>
      </w:r>
      <w:r w:rsidRPr="00A24D8E">
        <w:rPr>
          <w:rFonts w:hint="eastAsia"/>
          <w:rtl/>
        </w:rPr>
        <w:t>בהמשך</w:t>
      </w:r>
      <w:r w:rsidRPr="00A24D8E">
        <w:rPr>
          <w:rtl/>
        </w:rPr>
        <w:t xml:space="preserve"> </w:t>
      </w:r>
      <w:r w:rsidRPr="00A24D8E">
        <w:rPr>
          <w:rFonts w:hint="eastAsia"/>
          <w:rtl/>
        </w:rPr>
        <w:t>לכך</w:t>
      </w:r>
      <w:r w:rsidRPr="00A24D8E">
        <w:rPr>
          <w:rtl/>
        </w:rPr>
        <w:t xml:space="preserve">, </w:t>
      </w:r>
      <w:r>
        <w:rPr>
          <w:rFonts w:hint="cs"/>
          <w:rtl/>
        </w:rPr>
        <w:t xml:space="preserve">נטען כי בדין סטה בית המשפט המחוזי לקולה מטעמי צדק ממתחם העונש ההולם, לנוכח מידת אשמתו הנמוכה של המערער כאמור. עוד הודגש כי ענייננו נמנה בין המקרים החריגים שהוכרו בפסיקה </w:t>
      </w:r>
      <w:r w:rsidR="007A4760">
        <w:rPr>
          <w:rFonts w:hint="cs"/>
          <w:rtl/>
        </w:rPr>
        <w:t>בגין</w:t>
      </w:r>
      <w:r>
        <w:rPr>
          <w:rFonts w:hint="cs"/>
          <w:rtl/>
        </w:rPr>
        <w:t xml:space="preserve"> סטייה מהמתחם בשל שיקולי צדק, על מנת להותיר "פתח של תקווה" לכך שהמערער לא יסיים את חייו מאחורי סורג ובריח.</w:t>
      </w:r>
    </w:p>
    <w:p w:rsidR="00292D3F" w:rsidRPr="006F35D6" w:rsidRDefault="00292D3F" w:rsidP="00292D3F">
      <w:pPr>
        <w:pStyle w:val="Ruller41"/>
      </w:pPr>
    </w:p>
    <w:p w:rsidR="00292D3F" w:rsidRDefault="00292D3F" w:rsidP="00292D3F">
      <w:pPr>
        <w:pStyle w:val="Ruller4"/>
        <w:rPr>
          <w:rtl/>
        </w:rPr>
      </w:pPr>
      <w:r w:rsidRPr="00785128">
        <w:rPr>
          <w:rFonts w:ascii="Century" w:hAnsi="Century" w:hint="cs"/>
          <w:sz w:val="22"/>
          <w:rtl/>
        </w:rPr>
        <w:t>מנגד</w:t>
      </w:r>
      <w:r>
        <w:rPr>
          <w:rFonts w:hint="cs"/>
          <w:rtl/>
        </w:rPr>
        <w:t xml:space="preserve">, לשיטת המדינה, עונש המאסר </w:t>
      </w:r>
      <w:r w:rsidR="007A4760">
        <w:rPr>
          <w:rFonts w:hint="cs"/>
          <w:rtl/>
        </w:rPr>
        <w:t xml:space="preserve">בפועל </w:t>
      </w:r>
      <w:r>
        <w:rPr>
          <w:rFonts w:hint="cs"/>
          <w:rtl/>
        </w:rPr>
        <w:t xml:space="preserve">שנגזר על המערער חורג לקולה באופן משמעותי מהעונש הראוי בגין מעשיו; אינו עולה בקנה אחד עם הרפורמה בעבירות ההמתה; ואף אינו מתיישב עם מדיניות הענישה הנוהגת בעבירת רצח בכוונה. לעמדת המדינה, בית המשפט המחוזי שגה והקל הן בקביעת גבולות מתחם העונש ההולם הן בעונש שגזר על המערער בסופו של דבר. </w:t>
      </w:r>
    </w:p>
    <w:p w:rsidR="00292D3F" w:rsidRDefault="00292D3F" w:rsidP="00292D3F">
      <w:pPr>
        <w:pStyle w:val="Ruller41"/>
        <w:rPr>
          <w:rtl/>
        </w:rPr>
      </w:pPr>
    </w:p>
    <w:p w:rsidR="00292D3F" w:rsidRDefault="00292D3F" w:rsidP="007A4760">
      <w:pPr>
        <w:pStyle w:val="Ruller41"/>
        <w:rPr>
          <w:rtl/>
        </w:rPr>
      </w:pPr>
      <w:r>
        <w:rPr>
          <w:rtl/>
        </w:rPr>
        <w:tab/>
      </w:r>
      <w:r>
        <w:rPr>
          <w:rFonts w:hint="cs"/>
          <w:rtl/>
        </w:rPr>
        <w:t xml:space="preserve">אשר לקביעת מתחם העונש ההולם, נטען כי בית המשפט המחוזי שגה והתחשב בעובדות ונסיבות שהועלו בהליך ההוכחות אף שאלו </w:t>
      </w:r>
      <w:r w:rsidRPr="00271533">
        <w:rPr>
          <w:rFonts w:ascii="Century" w:hAnsi="Century" w:cs="Miriam" w:hint="cs"/>
          <w:b/>
          <w:spacing w:val="0"/>
          <w:szCs w:val="24"/>
          <w:rtl/>
        </w:rPr>
        <w:t>אינן</w:t>
      </w:r>
      <w:r w:rsidRPr="00271533">
        <w:rPr>
          <w:rFonts w:hint="cs"/>
          <w:rtl/>
        </w:rPr>
        <w:t xml:space="preserve"> </w:t>
      </w:r>
      <w:r>
        <w:rPr>
          <w:rFonts w:hint="cs"/>
          <w:rtl/>
        </w:rPr>
        <w:t>מופיעות בכתב האישום המתוקן והמוסכם. כך למשל, בית המשפט המחוזי תיאר בהרחבה יתרה את מערכת היחסים שבין המערער לבין המנוח הניצבת ברקע לרצח, באופן החורג מהתיאור התמציתי של נושא זה בכתב האישום המתוקן. פירוט זה אף הוביל את בית המשפט המחוזי להסיק כי המערער פעל מתוך "העדר מוחלט של שיקול דעת" וכי ביצע "מעשה של ייאוש" מתוך אובדן עשתונות, עד כי נקבע שמידת השליטה שלו על מעשיו נפגעה. כל זאת, מבלי ש</w:t>
      </w:r>
      <w:r w:rsidR="007A4760">
        <w:rPr>
          <w:rFonts w:hint="cs"/>
          <w:rtl/>
        </w:rPr>
        <w:t xml:space="preserve">הדבר </w:t>
      </w:r>
      <w:r>
        <w:rPr>
          <w:rFonts w:hint="cs"/>
          <w:rtl/>
        </w:rPr>
        <w:t xml:space="preserve">הוכח ובאופן שאינו עולה מעובדות כתב האישום המתוקן ואינו מתיישב עמן. בד בבד, נטען כי בית המשפט המחוזי לא נתן משקל מספק לעובדות שפורטו בכתב האישום המתוקן והמוסכם, ובכללן, העובדה כי המערער הכין את הנשק לירי מתחת לכרית מבעוד מועד; כיוון את האקדח למצח של המנוח; הציע לו להתפלל בטרם יירה בו; לא פנה להזעיק עזרה בעוד שהמנוח גוסס, ובמקום זאת עמל בקור רוח על שיבוש זירת הרצח. נסיבות אלו מלמדות לשיטת המדינה כי מדובר באירוע הקרוב בחומרתו לעבירת רצח בנסיבות מחמירות בשל מידת התכנון ולנוכח האכזריות המגולמת במעשיו. על כן נטען כי יש לקבוע </w:t>
      </w:r>
      <w:r w:rsidRPr="00785128">
        <w:rPr>
          <w:rFonts w:ascii="Century" w:hAnsi="Century" w:cs="Miriam" w:hint="cs"/>
          <w:b/>
          <w:spacing w:val="0"/>
          <w:szCs w:val="24"/>
          <w:rtl/>
        </w:rPr>
        <w:t>מתחם עונש חמור יותר</w:t>
      </w:r>
      <w:r>
        <w:rPr>
          <w:rFonts w:hint="cs"/>
          <w:rtl/>
        </w:rPr>
        <w:t>. עוד נטען בהתייחס לגדרי המתחם כי הוא רחוק מלהלום את מדינ</w:t>
      </w:r>
      <w:r w:rsidR="00F266C5">
        <w:rPr>
          <w:rFonts w:hint="cs"/>
          <w:rtl/>
        </w:rPr>
        <w:t xml:space="preserve">יות הענישה המתגבשת בעבירת הרצח </w:t>
      </w:r>
      <w:r>
        <w:rPr>
          <w:rFonts w:hint="cs"/>
          <w:rtl/>
        </w:rPr>
        <w:t>ה</w:t>
      </w:r>
      <w:r w:rsidR="00F266C5">
        <w:rPr>
          <w:rFonts w:hint="cs"/>
          <w:rtl/>
        </w:rPr>
        <w:t>בסיסית</w:t>
      </w:r>
      <w:r>
        <w:rPr>
          <w:rFonts w:hint="cs"/>
          <w:rtl/>
        </w:rPr>
        <w:t xml:space="preserve"> ביסוד נפשי של כוונה שלפיה הרף </w:t>
      </w:r>
      <w:r w:rsidRPr="00B226F4">
        <w:rPr>
          <w:rFonts w:ascii="Century" w:hAnsi="Century" w:cs="Miriam" w:hint="cs"/>
          <w:b/>
          <w:spacing w:val="0"/>
          <w:szCs w:val="24"/>
          <w:rtl/>
        </w:rPr>
        <w:t>התחתון</w:t>
      </w:r>
      <w:r w:rsidRPr="00B226F4">
        <w:rPr>
          <w:rFonts w:hint="cs"/>
          <w:rtl/>
        </w:rPr>
        <w:t xml:space="preserve"> </w:t>
      </w:r>
      <w:r>
        <w:rPr>
          <w:rFonts w:hint="cs"/>
          <w:rtl/>
        </w:rPr>
        <w:t xml:space="preserve">הוא 25 שנות מאסר בפועל, בעוד שרף זה נקבע בענייננו כרף </w:t>
      </w:r>
      <w:r w:rsidRPr="00B226F4">
        <w:rPr>
          <w:rFonts w:ascii="Century" w:hAnsi="Century" w:cs="Miriam" w:hint="cs"/>
          <w:b/>
          <w:spacing w:val="0"/>
          <w:szCs w:val="24"/>
          <w:rtl/>
        </w:rPr>
        <w:t>העליון</w:t>
      </w:r>
      <w:r w:rsidRPr="00B226F4">
        <w:rPr>
          <w:rFonts w:hint="cs"/>
          <w:rtl/>
        </w:rPr>
        <w:t xml:space="preserve"> </w:t>
      </w:r>
      <w:r>
        <w:rPr>
          <w:rFonts w:hint="cs"/>
          <w:rtl/>
        </w:rPr>
        <w:t>עבור הרצח שביצע המערער.</w:t>
      </w:r>
    </w:p>
    <w:p w:rsidR="00292D3F" w:rsidRDefault="00292D3F" w:rsidP="00292D3F">
      <w:pPr>
        <w:pStyle w:val="Ruller41"/>
        <w:rPr>
          <w:rtl/>
        </w:rPr>
      </w:pPr>
    </w:p>
    <w:p w:rsidR="00292D3F" w:rsidRDefault="00292D3F" w:rsidP="00292D3F">
      <w:pPr>
        <w:pStyle w:val="Ruller4"/>
        <w:rPr>
          <w:rtl/>
        </w:rPr>
      </w:pPr>
      <w:r>
        <w:rPr>
          <w:rFonts w:hint="cs"/>
          <w:rtl/>
        </w:rPr>
        <w:t xml:space="preserve">מלבד השגגה בקביעת גדרי מתחם העונש ההולם, לשיטת המדינה, בית המשפט המחוזי שגה עת חרג לקולה מהמתחם בשל מצבו הרפואי של המערער. נטען כי לפי הוראות סעיף 40ד לחוק, ניתן לחרוג לקולה ממתחם העונש ההולם אך ורק בשל שיקולי </w:t>
      </w:r>
      <w:r>
        <w:rPr>
          <w:rFonts w:hint="cs"/>
          <w:rtl/>
        </w:rPr>
        <w:lastRenderedPageBreak/>
        <w:t xml:space="preserve">שיקום. אפשרות זו אף היא מסויגת כך שאין לחרוג לקולה כאשר מעשה העבירה ומידת אשמו של הנאשם בעלי חומרה יתרה, אלא במקרים יוצאי דופן בלבד. בצד האמור, צוין כי במספר מצומצם של מקרים חריגים הותר לחרוג לקולה מהמתחם גם משיקולים של מצב רפואי, כאשר ענישה מאחורי סורג ובריח עלולה לקצר בצורה ניכרת את תוחלת חייו של הנאשם. לעמדת המדינה, המקרה שלפנינו אינו נכנס בגדרי החריג, משנטען כי המערער לא הגיש תיעוד רפואי אשר ממנו עולה כי שירות בתי הסוהר אינו ערוך לטפל בו וכי המאסר עלול לקצר בצורה ניכרת את תוחלת חייו. עוד נטען כי גם איזון בין מצבו הרפואי לבין מסוכנותו הרבה מוביל למסקנה כי אין מקום לחרוג לקולה מגדרי המתחם. </w:t>
      </w:r>
    </w:p>
    <w:p w:rsidR="00292D3F" w:rsidRDefault="00292D3F" w:rsidP="00292D3F">
      <w:pPr>
        <w:pStyle w:val="Ruller41"/>
        <w:rPr>
          <w:rtl/>
        </w:rPr>
      </w:pPr>
    </w:p>
    <w:p w:rsidR="00292D3F" w:rsidRDefault="00292D3F" w:rsidP="00292D3F">
      <w:pPr>
        <w:pStyle w:val="Ruller4"/>
        <w:rPr>
          <w:rtl/>
        </w:rPr>
      </w:pPr>
      <w:r>
        <w:rPr>
          <w:rFonts w:hint="cs"/>
          <w:rtl/>
        </w:rPr>
        <w:t xml:space="preserve">להשלמה יצוין, כי במענה לערעור המדינה, המערער השיב כי בית המשפט המחוזי היה "ער לגבולותיו של כתב האישום המתוקן", וכי העובדות שנסקרו בגזר הדין אינן סותרות את כתב האישום ואף אינן מצויות במחלוקת בין הצדדים. עוד הודגש כי התייחסות לעובדות הקשורות בביצוע העבירה שאינן מופיעות באופן מפורש בכתב האישום המתוקן, ואשר יש בהן כדי ליצוק תוכן עבור החודשים שקדמו לרצח בהם חיי המערער הפכו "לסיוט עלי אדמות" </w:t>
      </w:r>
      <w:r>
        <w:rPr>
          <w:rtl/>
        </w:rPr>
        <w:t>–</w:t>
      </w:r>
      <w:r>
        <w:rPr>
          <w:rFonts w:hint="cs"/>
          <w:rtl/>
        </w:rPr>
        <w:t xml:space="preserve"> היא "הכרחית כדי למנוע עיוות דין". </w:t>
      </w:r>
    </w:p>
    <w:p w:rsidR="00292D3F" w:rsidRDefault="00292D3F" w:rsidP="00292D3F">
      <w:pPr>
        <w:pStyle w:val="Ruller41"/>
        <w:rPr>
          <w:rtl/>
        </w:rPr>
      </w:pPr>
    </w:p>
    <w:p w:rsidR="00292D3F" w:rsidRPr="00B42915" w:rsidRDefault="00292D3F" w:rsidP="00292D3F">
      <w:pPr>
        <w:pStyle w:val="Ruller41"/>
        <w:rPr>
          <w:rFonts w:ascii="Century" w:hAnsi="Century" w:cs="Miriam"/>
          <w:b/>
          <w:spacing w:val="0"/>
          <w:szCs w:val="24"/>
          <w:rtl/>
        </w:rPr>
      </w:pPr>
      <w:r w:rsidRPr="00B42915">
        <w:rPr>
          <w:rFonts w:ascii="Century" w:hAnsi="Century" w:cs="Miriam" w:hint="cs"/>
          <w:b/>
          <w:spacing w:val="0"/>
          <w:szCs w:val="24"/>
          <w:rtl/>
        </w:rPr>
        <w:t>דיון והכרעה</w:t>
      </w:r>
    </w:p>
    <w:p w:rsidR="00292D3F" w:rsidRDefault="00292D3F" w:rsidP="00292D3F">
      <w:pPr>
        <w:pStyle w:val="Ruller41"/>
        <w:rPr>
          <w:rtl/>
        </w:rPr>
      </w:pPr>
    </w:p>
    <w:p w:rsidR="00292D3F" w:rsidRDefault="00292D3F" w:rsidP="00292D3F">
      <w:pPr>
        <w:pStyle w:val="Ruller4"/>
        <w:rPr>
          <w:rtl/>
        </w:rPr>
      </w:pPr>
      <w:r>
        <w:rPr>
          <w:rFonts w:hint="eastAsia"/>
          <w:rtl/>
        </w:rPr>
        <w:t>כלל</w:t>
      </w:r>
      <w:r>
        <w:rPr>
          <w:rtl/>
        </w:rPr>
        <w:t xml:space="preserve"> </w:t>
      </w:r>
      <w:r>
        <w:rPr>
          <w:rFonts w:hint="eastAsia"/>
          <w:rtl/>
        </w:rPr>
        <w:t>ידוע</w:t>
      </w:r>
      <w:r>
        <w:rPr>
          <w:rtl/>
        </w:rPr>
        <w:t xml:space="preserve"> </w:t>
      </w:r>
      <w:r>
        <w:rPr>
          <w:rFonts w:hint="eastAsia"/>
          <w:rtl/>
        </w:rPr>
        <w:t>הוא</w:t>
      </w:r>
      <w:r>
        <w:rPr>
          <w:rtl/>
        </w:rPr>
        <w:t xml:space="preserve"> </w:t>
      </w:r>
      <w:r>
        <w:rPr>
          <w:rFonts w:hint="eastAsia"/>
          <w:rtl/>
        </w:rPr>
        <w:t>כי</w:t>
      </w:r>
      <w:r>
        <w:rPr>
          <w:rtl/>
        </w:rPr>
        <w:t xml:space="preserve"> </w:t>
      </w:r>
      <w:r>
        <w:rPr>
          <w:rFonts w:hint="eastAsia"/>
          <w:rtl/>
        </w:rPr>
        <w:t>בית</w:t>
      </w:r>
      <w:r>
        <w:rPr>
          <w:rtl/>
        </w:rPr>
        <w:t xml:space="preserve"> </w:t>
      </w:r>
      <w:r>
        <w:rPr>
          <w:rFonts w:hint="eastAsia"/>
          <w:rtl/>
        </w:rPr>
        <w:t>המשפט</w:t>
      </w:r>
      <w:r>
        <w:rPr>
          <w:rtl/>
        </w:rPr>
        <w:t xml:space="preserve"> </w:t>
      </w:r>
      <w:r>
        <w:rPr>
          <w:rFonts w:hint="eastAsia"/>
          <w:rtl/>
        </w:rPr>
        <w:t>ייטה</w:t>
      </w:r>
      <w:r>
        <w:rPr>
          <w:rtl/>
        </w:rPr>
        <w:t xml:space="preserve"> </w:t>
      </w:r>
      <w:r>
        <w:rPr>
          <w:rFonts w:hint="eastAsia"/>
          <w:rtl/>
        </w:rPr>
        <w:t>שלא</w:t>
      </w:r>
      <w:r>
        <w:rPr>
          <w:rtl/>
        </w:rPr>
        <w:t xml:space="preserve"> </w:t>
      </w:r>
      <w:r>
        <w:rPr>
          <w:rFonts w:hint="eastAsia"/>
          <w:rtl/>
        </w:rPr>
        <w:t>להתערב</w:t>
      </w:r>
      <w:r>
        <w:rPr>
          <w:rtl/>
        </w:rPr>
        <w:t xml:space="preserve"> </w:t>
      </w:r>
      <w:r>
        <w:rPr>
          <w:rFonts w:hint="eastAsia"/>
          <w:rtl/>
        </w:rPr>
        <w:t>בעונש</w:t>
      </w:r>
      <w:r>
        <w:rPr>
          <w:rtl/>
        </w:rPr>
        <w:t xml:space="preserve"> </w:t>
      </w:r>
      <w:r>
        <w:rPr>
          <w:rFonts w:hint="cs"/>
          <w:rtl/>
        </w:rPr>
        <w:t xml:space="preserve">שנגזר </w:t>
      </w:r>
      <w:r>
        <w:rPr>
          <w:rFonts w:hint="eastAsia"/>
          <w:rtl/>
        </w:rPr>
        <w:t>על</w:t>
      </w:r>
      <w:r>
        <w:rPr>
          <w:rtl/>
        </w:rPr>
        <w:t xml:space="preserve"> </w:t>
      </w:r>
      <w:r>
        <w:rPr>
          <w:rFonts w:hint="eastAsia"/>
          <w:rtl/>
        </w:rPr>
        <w:t>ידי</w:t>
      </w:r>
      <w:r>
        <w:rPr>
          <w:rtl/>
        </w:rPr>
        <w:t xml:space="preserve"> </w:t>
      </w:r>
      <w:r>
        <w:rPr>
          <w:rFonts w:hint="eastAsia"/>
          <w:rtl/>
        </w:rPr>
        <w:t>הערכאה</w:t>
      </w:r>
      <w:r>
        <w:rPr>
          <w:rtl/>
        </w:rPr>
        <w:t xml:space="preserve"> </w:t>
      </w:r>
      <w:r>
        <w:rPr>
          <w:rFonts w:hint="eastAsia"/>
          <w:rtl/>
        </w:rPr>
        <w:t>הדיונית</w:t>
      </w:r>
      <w:r>
        <w:rPr>
          <w:rtl/>
        </w:rPr>
        <w:t xml:space="preserve"> </w:t>
      </w:r>
      <w:r>
        <w:rPr>
          <w:rFonts w:hint="eastAsia"/>
          <w:rtl/>
        </w:rPr>
        <w:t>אלא</w:t>
      </w:r>
      <w:r>
        <w:rPr>
          <w:rtl/>
        </w:rPr>
        <w:t xml:space="preserve"> </w:t>
      </w:r>
      <w:r>
        <w:rPr>
          <w:rFonts w:hint="eastAsia"/>
          <w:rtl/>
        </w:rPr>
        <w:t>במקרים</w:t>
      </w:r>
      <w:r>
        <w:rPr>
          <w:rtl/>
        </w:rPr>
        <w:t xml:space="preserve"> </w:t>
      </w:r>
      <w:r>
        <w:rPr>
          <w:rFonts w:hint="eastAsia"/>
          <w:rtl/>
        </w:rPr>
        <w:t>שבהם</w:t>
      </w:r>
      <w:r>
        <w:rPr>
          <w:rtl/>
        </w:rPr>
        <w:t xml:space="preserve"> </w:t>
      </w:r>
      <w:r>
        <w:rPr>
          <w:rFonts w:hint="eastAsia"/>
          <w:rtl/>
        </w:rPr>
        <w:t>ניכרת</w:t>
      </w:r>
      <w:r>
        <w:rPr>
          <w:rtl/>
        </w:rPr>
        <w:t xml:space="preserve"> </w:t>
      </w:r>
      <w:r>
        <w:rPr>
          <w:rFonts w:hint="eastAsia"/>
          <w:rtl/>
        </w:rPr>
        <w:t>חריגה</w:t>
      </w:r>
      <w:r>
        <w:rPr>
          <w:rtl/>
        </w:rPr>
        <w:t xml:space="preserve"> </w:t>
      </w:r>
      <w:r>
        <w:rPr>
          <w:rFonts w:hint="eastAsia"/>
          <w:rtl/>
        </w:rPr>
        <w:t>קיצונית</w:t>
      </w:r>
      <w:r>
        <w:rPr>
          <w:rtl/>
        </w:rPr>
        <w:t xml:space="preserve"> </w:t>
      </w:r>
      <w:r>
        <w:rPr>
          <w:rFonts w:hint="eastAsia"/>
          <w:rtl/>
        </w:rPr>
        <w:t>ממדיניות</w:t>
      </w:r>
      <w:r>
        <w:rPr>
          <w:rtl/>
        </w:rPr>
        <w:t xml:space="preserve"> </w:t>
      </w:r>
      <w:r>
        <w:rPr>
          <w:rFonts w:hint="eastAsia"/>
          <w:rtl/>
        </w:rPr>
        <w:t>הענישה</w:t>
      </w:r>
      <w:r>
        <w:rPr>
          <w:rtl/>
        </w:rPr>
        <w:t xml:space="preserve"> </w:t>
      </w:r>
      <w:r>
        <w:rPr>
          <w:rFonts w:hint="eastAsia"/>
          <w:rtl/>
        </w:rPr>
        <w:t>הנוהגת</w:t>
      </w:r>
      <w:r>
        <w:rPr>
          <w:rtl/>
        </w:rPr>
        <w:t xml:space="preserve"> </w:t>
      </w:r>
      <w:r>
        <w:rPr>
          <w:rFonts w:hint="eastAsia"/>
          <w:rtl/>
        </w:rPr>
        <w:t>במקרים</w:t>
      </w:r>
      <w:r>
        <w:rPr>
          <w:rtl/>
        </w:rPr>
        <w:t xml:space="preserve"> </w:t>
      </w:r>
      <w:r>
        <w:rPr>
          <w:rFonts w:hint="eastAsia"/>
          <w:rtl/>
        </w:rPr>
        <w:t>דומים</w:t>
      </w:r>
      <w:r>
        <w:rPr>
          <w:rtl/>
        </w:rPr>
        <w:t xml:space="preserve">, </w:t>
      </w:r>
      <w:r>
        <w:rPr>
          <w:rFonts w:hint="eastAsia"/>
          <w:rtl/>
        </w:rPr>
        <w:t>או</w:t>
      </w:r>
      <w:r>
        <w:rPr>
          <w:rtl/>
        </w:rPr>
        <w:t xml:space="preserve"> </w:t>
      </w:r>
      <w:r>
        <w:rPr>
          <w:rFonts w:hint="eastAsia"/>
          <w:rtl/>
        </w:rPr>
        <w:t>כאשר</w:t>
      </w:r>
      <w:r>
        <w:rPr>
          <w:rtl/>
        </w:rPr>
        <w:t xml:space="preserve"> </w:t>
      </w:r>
      <w:r>
        <w:rPr>
          <w:rFonts w:hint="eastAsia"/>
          <w:rtl/>
        </w:rPr>
        <w:t>נפלה</w:t>
      </w:r>
      <w:r>
        <w:rPr>
          <w:rtl/>
        </w:rPr>
        <w:t xml:space="preserve"> </w:t>
      </w:r>
      <w:r>
        <w:rPr>
          <w:rFonts w:hint="eastAsia"/>
          <w:rtl/>
        </w:rPr>
        <w:t>על</w:t>
      </w:r>
      <w:r>
        <w:rPr>
          <w:rtl/>
        </w:rPr>
        <w:t xml:space="preserve"> </w:t>
      </w:r>
      <w:r>
        <w:rPr>
          <w:rFonts w:hint="eastAsia"/>
          <w:rtl/>
        </w:rPr>
        <w:t>פני</w:t>
      </w:r>
      <w:r>
        <w:rPr>
          <w:rtl/>
        </w:rPr>
        <w:t xml:space="preserve"> </w:t>
      </w:r>
      <w:r>
        <w:rPr>
          <w:rFonts w:hint="eastAsia"/>
          <w:rtl/>
        </w:rPr>
        <w:t>הדברים</w:t>
      </w:r>
      <w:r>
        <w:rPr>
          <w:rtl/>
        </w:rPr>
        <w:t xml:space="preserve"> </w:t>
      </w:r>
      <w:r>
        <w:rPr>
          <w:rFonts w:hint="eastAsia"/>
          <w:rtl/>
        </w:rPr>
        <w:t>טעות</w:t>
      </w:r>
      <w:r>
        <w:rPr>
          <w:rtl/>
        </w:rPr>
        <w:t xml:space="preserve"> </w:t>
      </w:r>
      <w:r>
        <w:rPr>
          <w:rFonts w:hint="eastAsia"/>
          <w:rtl/>
        </w:rPr>
        <w:t>מהותית</w:t>
      </w:r>
      <w:r>
        <w:rPr>
          <w:rtl/>
        </w:rPr>
        <w:t xml:space="preserve"> </w:t>
      </w:r>
      <w:r>
        <w:rPr>
          <w:rFonts w:hint="eastAsia"/>
          <w:rtl/>
        </w:rPr>
        <w:t>ובולטת</w:t>
      </w:r>
      <w:r>
        <w:rPr>
          <w:rtl/>
        </w:rPr>
        <w:t xml:space="preserve"> </w:t>
      </w:r>
      <w:r>
        <w:rPr>
          <w:rFonts w:hint="eastAsia"/>
          <w:rtl/>
        </w:rPr>
        <w:t>בגזר</w:t>
      </w:r>
      <w:r>
        <w:rPr>
          <w:rtl/>
        </w:rPr>
        <w:t xml:space="preserve"> </w:t>
      </w:r>
      <w:r>
        <w:rPr>
          <w:rFonts w:hint="eastAsia"/>
          <w:rtl/>
        </w:rPr>
        <w:t>הדין</w:t>
      </w:r>
      <w:r>
        <w:rPr>
          <w:rtl/>
        </w:rPr>
        <w:t xml:space="preserve"> </w:t>
      </w:r>
      <w:r>
        <w:rPr>
          <w:rFonts w:hint="cs"/>
          <w:rtl/>
        </w:rPr>
        <w:t>(</w:t>
      </w:r>
      <w:r w:rsidRPr="007514F4">
        <w:rPr>
          <w:rFonts w:hint="eastAsia"/>
          <w:rtl/>
        </w:rPr>
        <w:t>ע</w:t>
      </w:r>
      <w:r w:rsidRPr="007514F4">
        <w:rPr>
          <w:rtl/>
        </w:rPr>
        <w:t>"</w:t>
      </w:r>
      <w:r w:rsidRPr="007514F4">
        <w:rPr>
          <w:rFonts w:hint="eastAsia"/>
          <w:rtl/>
        </w:rPr>
        <w:t>פ</w:t>
      </w:r>
      <w:r w:rsidRPr="007514F4">
        <w:rPr>
          <w:rtl/>
        </w:rPr>
        <w:t xml:space="preserve"> 2079/22 </w:t>
      </w:r>
      <w:proofErr w:type="spellStart"/>
      <w:r w:rsidRPr="007514F4">
        <w:rPr>
          <w:rFonts w:ascii="Century" w:hAnsi="Century" w:cs="Miriam" w:hint="eastAsia"/>
          <w:b/>
          <w:spacing w:val="0"/>
          <w:sz w:val="22"/>
          <w:szCs w:val="24"/>
          <w:rtl/>
        </w:rPr>
        <w:t>חוג</w:t>
      </w:r>
      <w:r w:rsidRPr="007514F4">
        <w:rPr>
          <w:rFonts w:ascii="Century" w:hAnsi="Century" w:cs="Miriam"/>
          <w:b/>
          <w:spacing w:val="0"/>
          <w:sz w:val="22"/>
          <w:szCs w:val="24"/>
          <w:rtl/>
        </w:rPr>
        <w:t>'</w:t>
      </w:r>
      <w:r w:rsidRPr="007514F4">
        <w:rPr>
          <w:rFonts w:ascii="Century" w:hAnsi="Century" w:cs="Miriam" w:hint="eastAsia"/>
          <w:b/>
          <w:spacing w:val="0"/>
          <w:sz w:val="22"/>
          <w:szCs w:val="24"/>
          <w:rtl/>
        </w:rPr>
        <w:t>יראת</w:t>
      </w:r>
      <w:proofErr w:type="spellEnd"/>
      <w:r w:rsidRPr="007514F4">
        <w:rPr>
          <w:rFonts w:ascii="Century" w:hAnsi="Century" w:cs="Miriam"/>
          <w:b/>
          <w:spacing w:val="0"/>
          <w:sz w:val="22"/>
          <w:szCs w:val="24"/>
          <w:rtl/>
        </w:rPr>
        <w:t xml:space="preserve"> </w:t>
      </w:r>
      <w:r w:rsidRPr="007514F4">
        <w:rPr>
          <w:rFonts w:ascii="Century" w:hAnsi="Century" w:cs="Miriam" w:hint="eastAsia"/>
          <w:b/>
          <w:spacing w:val="0"/>
          <w:sz w:val="22"/>
          <w:szCs w:val="24"/>
          <w:rtl/>
        </w:rPr>
        <w:t>נ</w:t>
      </w:r>
      <w:r w:rsidRPr="007514F4">
        <w:rPr>
          <w:rFonts w:ascii="Century" w:hAnsi="Century" w:cs="Miriam"/>
          <w:b/>
          <w:spacing w:val="0"/>
          <w:sz w:val="22"/>
          <w:szCs w:val="24"/>
          <w:rtl/>
        </w:rPr>
        <w:t xml:space="preserve">' </w:t>
      </w:r>
      <w:r w:rsidRPr="007514F4">
        <w:rPr>
          <w:rFonts w:ascii="Century" w:hAnsi="Century" w:cs="Miriam" w:hint="eastAsia"/>
          <w:b/>
          <w:spacing w:val="0"/>
          <w:sz w:val="22"/>
          <w:szCs w:val="24"/>
          <w:rtl/>
        </w:rPr>
        <w:t>מדינת</w:t>
      </w:r>
      <w:r w:rsidRPr="007514F4">
        <w:rPr>
          <w:rFonts w:ascii="Century" w:hAnsi="Century" w:cs="Miriam"/>
          <w:b/>
          <w:spacing w:val="0"/>
          <w:sz w:val="22"/>
          <w:szCs w:val="24"/>
          <w:rtl/>
        </w:rPr>
        <w:t xml:space="preserve"> </w:t>
      </w:r>
      <w:r w:rsidRPr="007514F4">
        <w:rPr>
          <w:rFonts w:ascii="Century" w:hAnsi="Century" w:cs="Miriam" w:hint="eastAsia"/>
          <w:b/>
          <w:spacing w:val="0"/>
          <w:sz w:val="22"/>
          <w:szCs w:val="24"/>
          <w:rtl/>
        </w:rPr>
        <w:t>ישראל</w:t>
      </w:r>
      <w:r>
        <w:rPr>
          <w:rFonts w:hint="cs"/>
          <w:rtl/>
        </w:rPr>
        <w:t xml:space="preserve">, פסקה 9 </w:t>
      </w:r>
      <w:r w:rsidRPr="007514F4">
        <w:rPr>
          <w:rtl/>
        </w:rPr>
        <w:t>(13.</w:t>
      </w:r>
      <w:r>
        <w:rPr>
          <w:rFonts w:hint="cs"/>
          <w:rtl/>
        </w:rPr>
        <w:t>8</w:t>
      </w:r>
      <w:r w:rsidRPr="007514F4">
        <w:rPr>
          <w:rtl/>
        </w:rPr>
        <w:t>.2023)</w:t>
      </w:r>
      <w:r>
        <w:rPr>
          <w:rFonts w:hint="cs"/>
          <w:rtl/>
        </w:rPr>
        <w:t xml:space="preserve">). יחד עם זאת, </w:t>
      </w:r>
      <w:r>
        <w:rPr>
          <w:rFonts w:hint="eastAsia"/>
          <w:rtl/>
        </w:rPr>
        <w:t>המקרה</w:t>
      </w:r>
      <w:r>
        <w:rPr>
          <w:rtl/>
        </w:rPr>
        <w:t xml:space="preserve"> </w:t>
      </w:r>
      <w:r>
        <w:rPr>
          <w:rFonts w:hint="eastAsia"/>
          <w:rtl/>
        </w:rPr>
        <w:t>שלפנינו</w:t>
      </w:r>
      <w:r>
        <w:rPr>
          <w:rtl/>
        </w:rPr>
        <w:t xml:space="preserve"> </w:t>
      </w:r>
      <w:r>
        <w:rPr>
          <w:rFonts w:hint="eastAsia"/>
          <w:rtl/>
        </w:rPr>
        <w:t>נמנה</w:t>
      </w:r>
      <w:r>
        <w:rPr>
          <w:rtl/>
        </w:rPr>
        <w:t xml:space="preserve"> </w:t>
      </w:r>
      <w:r>
        <w:rPr>
          <w:rFonts w:hint="eastAsia"/>
          <w:rtl/>
        </w:rPr>
        <w:t>על</w:t>
      </w:r>
      <w:r>
        <w:rPr>
          <w:rtl/>
        </w:rPr>
        <w:t xml:space="preserve"> </w:t>
      </w:r>
      <w:r>
        <w:rPr>
          <w:rFonts w:hint="eastAsia"/>
          <w:rtl/>
        </w:rPr>
        <w:t>המקרים</w:t>
      </w:r>
      <w:r>
        <w:rPr>
          <w:rtl/>
        </w:rPr>
        <w:t xml:space="preserve"> </w:t>
      </w:r>
      <w:r>
        <w:rPr>
          <w:rFonts w:hint="eastAsia"/>
          <w:rtl/>
        </w:rPr>
        <w:t>המצדיקים</w:t>
      </w:r>
      <w:r>
        <w:rPr>
          <w:rtl/>
        </w:rPr>
        <w:t xml:space="preserve"> </w:t>
      </w:r>
      <w:r>
        <w:rPr>
          <w:rFonts w:hint="eastAsia"/>
          <w:rtl/>
        </w:rPr>
        <w:t>את</w:t>
      </w:r>
      <w:r>
        <w:rPr>
          <w:rtl/>
        </w:rPr>
        <w:t xml:space="preserve"> </w:t>
      </w:r>
      <w:r>
        <w:rPr>
          <w:rFonts w:hint="eastAsia"/>
          <w:rtl/>
        </w:rPr>
        <w:t>התערבות</w:t>
      </w:r>
      <w:r>
        <w:rPr>
          <w:rtl/>
        </w:rPr>
        <w:t xml:space="preserve"> </w:t>
      </w:r>
      <w:r>
        <w:rPr>
          <w:rFonts w:hint="eastAsia"/>
          <w:rtl/>
        </w:rPr>
        <w:t>ערכאת</w:t>
      </w:r>
      <w:r>
        <w:rPr>
          <w:rtl/>
        </w:rPr>
        <w:t xml:space="preserve"> </w:t>
      </w:r>
      <w:r>
        <w:rPr>
          <w:rFonts w:hint="eastAsia"/>
          <w:rtl/>
        </w:rPr>
        <w:t>הערעור</w:t>
      </w:r>
      <w:r>
        <w:rPr>
          <w:rtl/>
        </w:rPr>
        <w:t xml:space="preserve">, </w:t>
      </w:r>
      <w:r>
        <w:rPr>
          <w:rFonts w:hint="eastAsia"/>
          <w:rtl/>
        </w:rPr>
        <w:t>היות</w:t>
      </w:r>
      <w:r>
        <w:rPr>
          <w:rtl/>
        </w:rPr>
        <w:t xml:space="preserve"> </w:t>
      </w:r>
      <w:r>
        <w:rPr>
          <w:rFonts w:hint="cs"/>
          <w:rtl/>
        </w:rPr>
        <w:t>ו</w:t>
      </w:r>
      <w:r>
        <w:rPr>
          <w:rFonts w:hint="eastAsia"/>
          <w:rtl/>
        </w:rPr>
        <w:t>העונש</w:t>
      </w:r>
      <w:r>
        <w:rPr>
          <w:rtl/>
        </w:rPr>
        <w:t xml:space="preserve"> </w:t>
      </w:r>
      <w:r>
        <w:rPr>
          <w:rFonts w:hint="eastAsia"/>
          <w:rtl/>
        </w:rPr>
        <w:t>אשר</w:t>
      </w:r>
      <w:r>
        <w:rPr>
          <w:rtl/>
        </w:rPr>
        <w:t xml:space="preserve"> </w:t>
      </w:r>
      <w:r>
        <w:rPr>
          <w:rFonts w:hint="eastAsia"/>
          <w:rtl/>
        </w:rPr>
        <w:t>הושת</w:t>
      </w:r>
      <w:r>
        <w:rPr>
          <w:rtl/>
        </w:rPr>
        <w:t xml:space="preserve"> </w:t>
      </w:r>
      <w:r>
        <w:rPr>
          <w:rFonts w:hint="eastAsia"/>
          <w:rtl/>
        </w:rPr>
        <w:t>על</w:t>
      </w:r>
      <w:r>
        <w:rPr>
          <w:rtl/>
        </w:rPr>
        <w:t xml:space="preserve"> </w:t>
      </w:r>
      <w:r>
        <w:rPr>
          <w:rFonts w:hint="eastAsia"/>
          <w:rtl/>
        </w:rPr>
        <w:t>המערער</w:t>
      </w:r>
      <w:r>
        <w:rPr>
          <w:rtl/>
        </w:rPr>
        <w:t xml:space="preserve"> </w:t>
      </w:r>
      <w:r>
        <w:rPr>
          <w:rFonts w:hint="eastAsia"/>
          <w:rtl/>
        </w:rPr>
        <w:t>מקל</w:t>
      </w:r>
      <w:r>
        <w:rPr>
          <w:rtl/>
        </w:rPr>
        <w:t xml:space="preserve"> </w:t>
      </w:r>
      <w:r>
        <w:rPr>
          <w:rFonts w:hint="eastAsia"/>
          <w:rtl/>
        </w:rPr>
        <w:t>עמו</w:t>
      </w:r>
      <w:r>
        <w:rPr>
          <w:rtl/>
        </w:rPr>
        <w:t xml:space="preserve"> </w:t>
      </w:r>
      <w:r>
        <w:rPr>
          <w:rFonts w:hint="eastAsia"/>
          <w:rtl/>
        </w:rPr>
        <w:t>יתר</w:t>
      </w:r>
      <w:r>
        <w:rPr>
          <w:rtl/>
        </w:rPr>
        <w:t xml:space="preserve"> </w:t>
      </w:r>
      <w:r>
        <w:rPr>
          <w:rFonts w:hint="eastAsia"/>
          <w:rtl/>
        </w:rPr>
        <w:t>על</w:t>
      </w:r>
      <w:r>
        <w:rPr>
          <w:rtl/>
        </w:rPr>
        <w:t xml:space="preserve"> </w:t>
      </w:r>
      <w:r>
        <w:rPr>
          <w:rFonts w:hint="eastAsia"/>
          <w:rtl/>
        </w:rPr>
        <w:t>המידה</w:t>
      </w:r>
      <w:r>
        <w:rPr>
          <w:rFonts w:hint="cs"/>
          <w:rtl/>
        </w:rPr>
        <w:t xml:space="preserve"> </w:t>
      </w:r>
      <w:r>
        <w:rPr>
          <w:rtl/>
        </w:rPr>
        <w:t>–</w:t>
      </w:r>
      <w:r>
        <w:rPr>
          <w:rFonts w:hint="cs"/>
          <w:rtl/>
        </w:rPr>
        <w:t xml:space="preserve"> הן בקביעת מתחם העונש ההולם את חומרת מעשיו הן באשר לעונש אשר נגזר עליו לבסוף תוך חריגה לקולה מהמתחם</w:t>
      </w:r>
      <w:r>
        <w:rPr>
          <w:rtl/>
        </w:rPr>
        <w:t xml:space="preserve">. </w:t>
      </w:r>
    </w:p>
    <w:p w:rsidR="00292D3F" w:rsidRDefault="00292D3F" w:rsidP="00292D3F">
      <w:pPr>
        <w:pStyle w:val="Ruller41"/>
        <w:rPr>
          <w:rtl/>
        </w:rPr>
      </w:pPr>
    </w:p>
    <w:p w:rsidR="00292D3F" w:rsidRPr="00363EB4" w:rsidRDefault="00292D3F" w:rsidP="00292D3F">
      <w:pPr>
        <w:pStyle w:val="Ruller41"/>
        <w:rPr>
          <w:rFonts w:ascii="FrankRuehl" w:hAnsi="FrankRuehl"/>
          <w:color w:val="000000"/>
          <w:sz w:val="28"/>
          <w:shd w:val="clear" w:color="auto" w:fill="FFFFFF"/>
          <w:rtl/>
        </w:rPr>
      </w:pPr>
      <w:r>
        <w:rPr>
          <w:rtl/>
        </w:rPr>
        <w:tab/>
      </w:r>
      <w:r>
        <w:rPr>
          <w:rFonts w:hint="cs"/>
          <w:rtl/>
        </w:rPr>
        <w:t xml:space="preserve">טעם נוסף לכך שנדרשת התערבותנו במקרה שלפנינו הוא הצורך בקביעת </w:t>
      </w:r>
      <w:r>
        <w:rPr>
          <w:rFonts w:ascii="FrankRuehl" w:hAnsi="FrankRuehl"/>
          <w:color w:val="000000"/>
          <w:sz w:val="28"/>
          <w:shd w:val="clear" w:color="auto" w:fill="FFFFFF"/>
          <w:rtl/>
        </w:rPr>
        <w:t>ועיצוב מדיניות הענישה בראי הרפורמה בעבירות ההמתה</w:t>
      </w:r>
      <w:r>
        <w:rPr>
          <w:rFonts w:hint="cs"/>
          <w:rtl/>
        </w:rPr>
        <w:t xml:space="preserve">. בהקשר זה, הערתי בעבר כי </w:t>
      </w:r>
      <w:r w:rsidRPr="008A5181">
        <w:rPr>
          <w:rFonts w:hint="eastAsia"/>
          <w:rtl/>
        </w:rPr>
        <w:t>אף</w:t>
      </w:r>
      <w:r w:rsidRPr="008A5181">
        <w:rPr>
          <w:rtl/>
        </w:rPr>
        <w:t xml:space="preserve"> </w:t>
      </w:r>
      <w:r w:rsidRPr="008A5181">
        <w:rPr>
          <w:rFonts w:hint="eastAsia"/>
          <w:rtl/>
        </w:rPr>
        <w:t>ששיקול</w:t>
      </w:r>
      <w:r w:rsidRPr="008A5181">
        <w:rPr>
          <w:rtl/>
        </w:rPr>
        <w:t xml:space="preserve"> </w:t>
      </w:r>
      <w:r w:rsidRPr="008A5181">
        <w:rPr>
          <w:rFonts w:hint="eastAsia"/>
          <w:rtl/>
        </w:rPr>
        <w:t>דעת</w:t>
      </w:r>
      <w:r w:rsidRPr="008A5181">
        <w:rPr>
          <w:rtl/>
        </w:rPr>
        <w:t xml:space="preserve"> </w:t>
      </w:r>
      <w:r w:rsidRPr="008A5181">
        <w:rPr>
          <w:rFonts w:hint="eastAsia"/>
          <w:rtl/>
        </w:rPr>
        <w:t>שיפוטי</w:t>
      </w:r>
      <w:r w:rsidRPr="008A5181">
        <w:rPr>
          <w:rtl/>
        </w:rPr>
        <w:t xml:space="preserve"> </w:t>
      </w:r>
      <w:r w:rsidRPr="008A5181">
        <w:rPr>
          <w:rFonts w:hint="eastAsia"/>
          <w:rtl/>
        </w:rPr>
        <w:t>רחב</w:t>
      </w:r>
      <w:r w:rsidRPr="008A5181">
        <w:rPr>
          <w:rtl/>
        </w:rPr>
        <w:t xml:space="preserve"> </w:t>
      </w:r>
      <w:r w:rsidRPr="008A5181">
        <w:rPr>
          <w:rFonts w:hint="eastAsia"/>
          <w:rtl/>
        </w:rPr>
        <w:t>חיוני</w:t>
      </w:r>
      <w:r w:rsidRPr="008A5181">
        <w:rPr>
          <w:rtl/>
        </w:rPr>
        <w:t xml:space="preserve"> </w:t>
      </w:r>
      <w:r>
        <w:rPr>
          <w:rFonts w:hint="cs"/>
          <w:rtl/>
        </w:rPr>
        <w:t xml:space="preserve">לצורך </w:t>
      </w:r>
      <w:r w:rsidRPr="008A5181">
        <w:rPr>
          <w:rFonts w:hint="eastAsia"/>
          <w:rtl/>
        </w:rPr>
        <w:t>מלאכת</w:t>
      </w:r>
      <w:r w:rsidRPr="008A5181">
        <w:rPr>
          <w:rtl/>
        </w:rPr>
        <w:t xml:space="preserve"> </w:t>
      </w:r>
      <w:r w:rsidRPr="008A5181">
        <w:rPr>
          <w:rFonts w:hint="eastAsia"/>
          <w:rtl/>
        </w:rPr>
        <w:t>גזירת</w:t>
      </w:r>
      <w:r w:rsidRPr="008A5181">
        <w:rPr>
          <w:rtl/>
        </w:rPr>
        <w:t xml:space="preserve"> </w:t>
      </w:r>
      <w:r w:rsidRPr="008A5181">
        <w:rPr>
          <w:rFonts w:hint="eastAsia"/>
          <w:rtl/>
        </w:rPr>
        <w:t>הדין</w:t>
      </w:r>
      <w:r w:rsidRPr="008A5181">
        <w:rPr>
          <w:rtl/>
        </w:rPr>
        <w:t xml:space="preserve"> </w:t>
      </w:r>
      <w:r>
        <w:rPr>
          <w:rtl/>
        </w:rPr>
        <w:t>–</w:t>
      </w:r>
      <w:r>
        <w:rPr>
          <w:rFonts w:hint="cs"/>
          <w:rtl/>
        </w:rPr>
        <w:t xml:space="preserve"> </w:t>
      </w:r>
      <w:r w:rsidRPr="008A5181">
        <w:rPr>
          <w:rtl/>
        </w:rPr>
        <w:t>"</w:t>
      </w:r>
      <w:r w:rsidRPr="00562CF7">
        <w:rPr>
          <w:rFonts w:ascii="Century" w:hAnsi="Century" w:cs="Miriam" w:hint="eastAsia"/>
          <w:b/>
          <w:spacing w:val="0"/>
          <w:szCs w:val="24"/>
          <w:rtl/>
        </w:rPr>
        <w:t>קיימת</w:t>
      </w:r>
      <w:r w:rsidRPr="00562CF7">
        <w:rPr>
          <w:rFonts w:ascii="Century" w:hAnsi="Century" w:cs="Miriam"/>
          <w:b/>
          <w:spacing w:val="0"/>
          <w:szCs w:val="24"/>
          <w:rtl/>
        </w:rPr>
        <w:t xml:space="preserve"> </w:t>
      </w:r>
      <w:r w:rsidRPr="00562CF7">
        <w:rPr>
          <w:rFonts w:ascii="Century" w:hAnsi="Century" w:cs="Miriam" w:hint="eastAsia"/>
          <w:b/>
          <w:spacing w:val="0"/>
          <w:szCs w:val="24"/>
          <w:rtl/>
        </w:rPr>
        <w:t>גם</w:t>
      </w:r>
      <w:r w:rsidRPr="00562CF7">
        <w:rPr>
          <w:rFonts w:ascii="Century" w:hAnsi="Century" w:cs="Miriam"/>
          <w:b/>
          <w:spacing w:val="0"/>
          <w:szCs w:val="24"/>
          <w:rtl/>
        </w:rPr>
        <w:t xml:space="preserve"> </w:t>
      </w:r>
      <w:r w:rsidRPr="00562CF7">
        <w:rPr>
          <w:rFonts w:ascii="Century" w:hAnsi="Century" w:cs="Miriam" w:hint="eastAsia"/>
          <w:b/>
          <w:spacing w:val="0"/>
          <w:szCs w:val="24"/>
          <w:rtl/>
        </w:rPr>
        <w:t>חשיבות</w:t>
      </w:r>
      <w:r w:rsidRPr="00562CF7">
        <w:rPr>
          <w:rFonts w:ascii="Century" w:hAnsi="Century" w:cs="Miriam"/>
          <w:b/>
          <w:spacing w:val="0"/>
          <w:szCs w:val="24"/>
          <w:rtl/>
        </w:rPr>
        <w:t xml:space="preserve"> </w:t>
      </w:r>
      <w:r w:rsidRPr="00562CF7">
        <w:rPr>
          <w:rFonts w:ascii="Century" w:hAnsi="Century" w:cs="Miriam" w:hint="eastAsia"/>
          <w:b/>
          <w:spacing w:val="0"/>
          <w:szCs w:val="24"/>
          <w:rtl/>
        </w:rPr>
        <w:t>רבה</w:t>
      </w:r>
      <w:r w:rsidRPr="00562CF7">
        <w:rPr>
          <w:rFonts w:ascii="Century" w:hAnsi="Century" w:cs="Miriam"/>
          <w:b/>
          <w:spacing w:val="0"/>
          <w:szCs w:val="24"/>
          <w:rtl/>
        </w:rPr>
        <w:t xml:space="preserve"> </w:t>
      </w:r>
      <w:r w:rsidRPr="00562CF7">
        <w:rPr>
          <w:rFonts w:ascii="Century" w:hAnsi="Century" w:cs="Miriam" w:hint="eastAsia"/>
          <w:b/>
          <w:spacing w:val="0"/>
          <w:szCs w:val="24"/>
          <w:rtl/>
        </w:rPr>
        <w:t>לכך</w:t>
      </w:r>
      <w:r w:rsidRPr="00562CF7">
        <w:rPr>
          <w:rFonts w:ascii="Century" w:hAnsi="Century" w:cs="Miriam"/>
          <w:b/>
          <w:spacing w:val="0"/>
          <w:szCs w:val="24"/>
          <w:rtl/>
        </w:rPr>
        <w:t xml:space="preserve"> </w:t>
      </w:r>
      <w:r w:rsidRPr="00562CF7">
        <w:rPr>
          <w:rFonts w:ascii="Century" w:hAnsi="Century" w:cs="Miriam" w:hint="eastAsia"/>
          <w:b/>
          <w:spacing w:val="0"/>
          <w:szCs w:val="24"/>
          <w:rtl/>
        </w:rPr>
        <w:t>ששיקול</w:t>
      </w:r>
      <w:r w:rsidRPr="00562CF7">
        <w:rPr>
          <w:rFonts w:ascii="Century" w:hAnsi="Century" w:cs="Miriam"/>
          <w:b/>
          <w:spacing w:val="0"/>
          <w:szCs w:val="24"/>
          <w:rtl/>
        </w:rPr>
        <w:t xml:space="preserve"> </w:t>
      </w:r>
      <w:r w:rsidRPr="00562CF7">
        <w:rPr>
          <w:rFonts w:ascii="Century" w:hAnsi="Century" w:cs="Miriam" w:hint="eastAsia"/>
          <w:b/>
          <w:spacing w:val="0"/>
          <w:szCs w:val="24"/>
          <w:rtl/>
        </w:rPr>
        <w:t>הדעת</w:t>
      </w:r>
      <w:r w:rsidRPr="00562CF7">
        <w:rPr>
          <w:rFonts w:ascii="Century" w:hAnsi="Century" w:cs="Miriam"/>
          <w:b/>
          <w:spacing w:val="0"/>
          <w:szCs w:val="24"/>
          <w:rtl/>
        </w:rPr>
        <w:t xml:space="preserve"> </w:t>
      </w:r>
      <w:r w:rsidRPr="00562CF7">
        <w:rPr>
          <w:rFonts w:ascii="Century" w:hAnsi="Century" w:cs="Miriam" w:hint="eastAsia"/>
          <w:b/>
          <w:spacing w:val="0"/>
          <w:szCs w:val="24"/>
          <w:rtl/>
        </w:rPr>
        <w:t>השיפוטי</w:t>
      </w:r>
      <w:r w:rsidRPr="00562CF7">
        <w:rPr>
          <w:rFonts w:ascii="Century" w:hAnsi="Century" w:cs="Miriam"/>
          <w:b/>
          <w:spacing w:val="0"/>
          <w:szCs w:val="24"/>
          <w:rtl/>
        </w:rPr>
        <w:t xml:space="preserve"> </w:t>
      </w:r>
      <w:r w:rsidRPr="00562CF7">
        <w:rPr>
          <w:rFonts w:ascii="Century" w:hAnsi="Century" w:cs="Miriam" w:hint="eastAsia"/>
          <w:b/>
          <w:spacing w:val="0"/>
          <w:szCs w:val="24"/>
          <w:rtl/>
        </w:rPr>
        <w:t>הרחב</w:t>
      </w:r>
      <w:r w:rsidRPr="00562CF7">
        <w:rPr>
          <w:rFonts w:ascii="Century" w:hAnsi="Century" w:cs="Miriam"/>
          <w:b/>
          <w:spacing w:val="0"/>
          <w:szCs w:val="24"/>
          <w:rtl/>
        </w:rPr>
        <w:t xml:space="preserve"> </w:t>
      </w:r>
      <w:r w:rsidRPr="00562CF7">
        <w:rPr>
          <w:rFonts w:ascii="Century" w:hAnsi="Century" w:cs="Miriam" w:hint="eastAsia"/>
          <w:b/>
          <w:spacing w:val="0"/>
          <w:szCs w:val="24"/>
          <w:rtl/>
        </w:rPr>
        <w:t>לא</w:t>
      </w:r>
      <w:r w:rsidRPr="00562CF7">
        <w:rPr>
          <w:rFonts w:ascii="Century" w:hAnsi="Century" w:cs="Miriam"/>
          <w:b/>
          <w:spacing w:val="0"/>
          <w:szCs w:val="24"/>
          <w:rtl/>
        </w:rPr>
        <w:t xml:space="preserve"> </w:t>
      </w:r>
      <w:r w:rsidRPr="00562CF7">
        <w:rPr>
          <w:rFonts w:ascii="Century" w:hAnsi="Century" w:cs="Miriam" w:hint="eastAsia"/>
          <w:b/>
          <w:spacing w:val="0"/>
          <w:szCs w:val="24"/>
          <w:rtl/>
        </w:rPr>
        <w:t>יוביל</w:t>
      </w:r>
      <w:r w:rsidRPr="00562CF7">
        <w:rPr>
          <w:rFonts w:ascii="Century" w:hAnsi="Century" w:cs="Miriam"/>
          <w:b/>
          <w:spacing w:val="0"/>
          <w:szCs w:val="24"/>
          <w:rtl/>
        </w:rPr>
        <w:t xml:space="preserve"> </w:t>
      </w:r>
      <w:r w:rsidRPr="00562CF7">
        <w:rPr>
          <w:rFonts w:ascii="Century" w:hAnsi="Century" w:cs="Miriam" w:hint="eastAsia"/>
          <w:b/>
          <w:spacing w:val="0"/>
          <w:szCs w:val="24"/>
          <w:rtl/>
        </w:rPr>
        <w:t>לענישה</w:t>
      </w:r>
      <w:r w:rsidRPr="00562CF7">
        <w:rPr>
          <w:rFonts w:ascii="Century" w:hAnsi="Century" w:cs="Miriam"/>
          <w:b/>
          <w:spacing w:val="0"/>
          <w:szCs w:val="24"/>
          <w:rtl/>
        </w:rPr>
        <w:t xml:space="preserve"> </w:t>
      </w:r>
      <w:r w:rsidRPr="00562CF7">
        <w:rPr>
          <w:rFonts w:ascii="Century" w:hAnsi="Century" w:cs="Miriam" w:hint="eastAsia"/>
          <w:b/>
          <w:spacing w:val="0"/>
          <w:szCs w:val="24"/>
          <w:rtl/>
        </w:rPr>
        <w:t>שונה</w:t>
      </w:r>
      <w:r w:rsidRPr="00562CF7">
        <w:rPr>
          <w:rFonts w:ascii="Century" w:hAnsi="Century" w:cs="Miriam"/>
          <w:b/>
          <w:spacing w:val="0"/>
          <w:szCs w:val="24"/>
          <w:rtl/>
        </w:rPr>
        <w:t xml:space="preserve"> </w:t>
      </w:r>
      <w:r w:rsidRPr="00562CF7">
        <w:rPr>
          <w:rFonts w:ascii="Century" w:hAnsi="Century" w:cs="Miriam" w:hint="eastAsia"/>
          <w:b/>
          <w:spacing w:val="0"/>
          <w:szCs w:val="24"/>
          <w:rtl/>
        </w:rPr>
        <w:t>במקרים</w:t>
      </w:r>
      <w:r w:rsidRPr="00562CF7">
        <w:rPr>
          <w:rFonts w:ascii="Century" w:hAnsi="Century" w:cs="Miriam"/>
          <w:b/>
          <w:spacing w:val="0"/>
          <w:szCs w:val="24"/>
          <w:rtl/>
        </w:rPr>
        <w:t xml:space="preserve"> </w:t>
      </w:r>
      <w:r w:rsidRPr="00562CF7">
        <w:rPr>
          <w:rFonts w:ascii="Century" w:hAnsi="Century" w:cs="Miriam" w:hint="eastAsia"/>
          <w:b/>
          <w:spacing w:val="0"/>
          <w:szCs w:val="24"/>
          <w:rtl/>
        </w:rPr>
        <w:t>דומים</w:t>
      </w:r>
      <w:r w:rsidRPr="00562CF7">
        <w:rPr>
          <w:rFonts w:ascii="Century" w:hAnsi="Century" w:cs="Miriam"/>
          <w:b/>
          <w:spacing w:val="0"/>
          <w:szCs w:val="24"/>
          <w:rtl/>
        </w:rPr>
        <w:t xml:space="preserve"> [...] </w:t>
      </w:r>
      <w:r w:rsidRPr="00562CF7">
        <w:rPr>
          <w:rFonts w:ascii="Century" w:hAnsi="Century" w:cs="Miriam" w:hint="eastAsia"/>
          <w:b/>
          <w:spacing w:val="0"/>
          <w:szCs w:val="24"/>
          <w:rtl/>
        </w:rPr>
        <w:t>לדידי</w:t>
      </w:r>
      <w:r w:rsidRPr="00562CF7">
        <w:rPr>
          <w:rFonts w:ascii="Century" w:hAnsi="Century" w:cs="Miriam"/>
          <w:b/>
          <w:spacing w:val="0"/>
          <w:szCs w:val="24"/>
          <w:rtl/>
        </w:rPr>
        <w:t xml:space="preserve">, </w:t>
      </w:r>
      <w:r w:rsidRPr="00562CF7">
        <w:rPr>
          <w:rFonts w:ascii="Century" w:hAnsi="Century" w:cs="Miriam" w:hint="eastAsia"/>
          <w:b/>
          <w:spacing w:val="0"/>
          <w:szCs w:val="24"/>
          <w:rtl/>
        </w:rPr>
        <w:t>חשש</w:t>
      </w:r>
      <w:r w:rsidRPr="00562CF7">
        <w:rPr>
          <w:rFonts w:ascii="Century" w:hAnsi="Century" w:cs="Miriam"/>
          <w:b/>
          <w:spacing w:val="0"/>
          <w:szCs w:val="24"/>
          <w:rtl/>
        </w:rPr>
        <w:t xml:space="preserve"> </w:t>
      </w:r>
      <w:r w:rsidRPr="00562CF7">
        <w:rPr>
          <w:rFonts w:ascii="Century" w:hAnsi="Century" w:cs="Miriam" w:hint="eastAsia"/>
          <w:b/>
          <w:spacing w:val="0"/>
          <w:szCs w:val="24"/>
          <w:rtl/>
        </w:rPr>
        <w:t>זה</w:t>
      </w:r>
      <w:r w:rsidRPr="00562CF7">
        <w:rPr>
          <w:rFonts w:ascii="Century" w:hAnsi="Century" w:cs="Miriam"/>
          <w:b/>
          <w:spacing w:val="0"/>
          <w:szCs w:val="24"/>
          <w:rtl/>
        </w:rPr>
        <w:t xml:space="preserve"> </w:t>
      </w:r>
      <w:r w:rsidRPr="00562CF7">
        <w:rPr>
          <w:rFonts w:ascii="Century" w:hAnsi="Century" w:cs="Miriam" w:hint="eastAsia"/>
          <w:b/>
          <w:spacing w:val="0"/>
          <w:szCs w:val="24"/>
          <w:rtl/>
        </w:rPr>
        <w:t>קיים</w:t>
      </w:r>
      <w:r w:rsidRPr="00562CF7">
        <w:rPr>
          <w:rFonts w:ascii="Century" w:hAnsi="Century" w:cs="Miriam"/>
          <w:b/>
          <w:spacing w:val="0"/>
          <w:szCs w:val="24"/>
          <w:rtl/>
        </w:rPr>
        <w:t xml:space="preserve"> </w:t>
      </w:r>
      <w:r w:rsidRPr="00562CF7">
        <w:rPr>
          <w:rFonts w:ascii="Century" w:hAnsi="Century" w:cs="Miriam" w:hint="eastAsia"/>
          <w:b/>
          <w:spacing w:val="0"/>
          <w:szCs w:val="24"/>
          <w:rtl/>
        </w:rPr>
        <w:t>ביתר</w:t>
      </w:r>
      <w:r w:rsidRPr="00562CF7">
        <w:rPr>
          <w:rFonts w:ascii="Century" w:hAnsi="Century" w:cs="Miriam"/>
          <w:b/>
          <w:spacing w:val="0"/>
          <w:szCs w:val="24"/>
          <w:rtl/>
        </w:rPr>
        <w:t xml:space="preserve"> </w:t>
      </w:r>
      <w:r w:rsidRPr="00562CF7">
        <w:rPr>
          <w:rFonts w:ascii="Century" w:hAnsi="Century" w:cs="Miriam" w:hint="eastAsia"/>
          <w:b/>
          <w:spacing w:val="0"/>
          <w:szCs w:val="24"/>
          <w:rtl/>
        </w:rPr>
        <w:t>שאת</w:t>
      </w:r>
      <w:r w:rsidRPr="00562CF7">
        <w:rPr>
          <w:rFonts w:ascii="Century" w:hAnsi="Century" w:cs="Miriam"/>
          <w:b/>
          <w:spacing w:val="0"/>
          <w:szCs w:val="24"/>
          <w:rtl/>
        </w:rPr>
        <w:t xml:space="preserve"> </w:t>
      </w:r>
      <w:r w:rsidRPr="00562CF7">
        <w:rPr>
          <w:rFonts w:ascii="Century" w:hAnsi="Century" w:cs="Miriam" w:hint="eastAsia"/>
          <w:b/>
          <w:spacing w:val="0"/>
          <w:szCs w:val="24"/>
          <w:rtl/>
        </w:rPr>
        <w:t>כאשר</w:t>
      </w:r>
      <w:r w:rsidRPr="00562CF7">
        <w:rPr>
          <w:rFonts w:ascii="Century" w:hAnsi="Century" w:cs="Miriam"/>
          <w:b/>
          <w:spacing w:val="0"/>
          <w:szCs w:val="24"/>
          <w:rtl/>
        </w:rPr>
        <w:t xml:space="preserve"> </w:t>
      </w:r>
      <w:r w:rsidRPr="00562CF7">
        <w:rPr>
          <w:rFonts w:ascii="Century" w:hAnsi="Century" w:cs="Miriam" w:hint="eastAsia"/>
          <w:b/>
          <w:spacing w:val="0"/>
          <w:szCs w:val="24"/>
          <w:rtl/>
        </w:rPr>
        <w:t>מדובר</w:t>
      </w:r>
      <w:r w:rsidRPr="00562CF7">
        <w:rPr>
          <w:rFonts w:ascii="Century" w:hAnsi="Century" w:cs="Miriam"/>
          <w:b/>
          <w:spacing w:val="0"/>
          <w:szCs w:val="24"/>
          <w:rtl/>
        </w:rPr>
        <w:t xml:space="preserve"> </w:t>
      </w:r>
      <w:r w:rsidRPr="00562CF7">
        <w:rPr>
          <w:rFonts w:ascii="Century" w:hAnsi="Century" w:cs="Miriam" w:hint="eastAsia"/>
          <w:b/>
          <w:spacing w:val="0"/>
          <w:szCs w:val="24"/>
          <w:rtl/>
        </w:rPr>
        <w:t>בעבירת</w:t>
      </w:r>
      <w:r w:rsidRPr="00562CF7">
        <w:rPr>
          <w:rFonts w:ascii="Century" w:hAnsi="Century" w:cs="Miriam"/>
          <w:b/>
          <w:spacing w:val="0"/>
          <w:szCs w:val="24"/>
          <w:rtl/>
        </w:rPr>
        <w:t xml:space="preserve"> </w:t>
      </w:r>
      <w:r w:rsidRPr="00562CF7">
        <w:rPr>
          <w:rFonts w:ascii="Century" w:hAnsi="Century" w:cs="Miriam" w:hint="eastAsia"/>
          <w:b/>
          <w:spacing w:val="0"/>
          <w:szCs w:val="24"/>
          <w:rtl/>
        </w:rPr>
        <w:t>הרצח</w:t>
      </w:r>
      <w:r w:rsidRPr="00562CF7">
        <w:rPr>
          <w:rFonts w:ascii="Century" w:hAnsi="Century" w:cs="Miriam"/>
          <w:b/>
          <w:spacing w:val="0"/>
          <w:szCs w:val="24"/>
          <w:rtl/>
        </w:rPr>
        <w:t xml:space="preserve"> </w:t>
      </w:r>
      <w:r w:rsidRPr="00562CF7">
        <w:rPr>
          <w:rFonts w:ascii="Century" w:hAnsi="Century" w:cs="Miriam" w:hint="eastAsia"/>
          <w:b/>
          <w:spacing w:val="0"/>
          <w:szCs w:val="24"/>
          <w:rtl/>
        </w:rPr>
        <w:t>הבסיסית</w:t>
      </w:r>
      <w:r w:rsidRPr="00562CF7">
        <w:rPr>
          <w:rFonts w:ascii="Century" w:hAnsi="Century" w:cs="Miriam"/>
          <w:b/>
          <w:spacing w:val="0"/>
          <w:szCs w:val="24"/>
          <w:rtl/>
        </w:rPr>
        <w:t xml:space="preserve"> – </w:t>
      </w:r>
      <w:r w:rsidRPr="00562CF7">
        <w:rPr>
          <w:rFonts w:ascii="Century" w:hAnsi="Century" w:cs="Miriam" w:hint="eastAsia"/>
          <w:b/>
          <w:spacing w:val="0"/>
          <w:szCs w:val="24"/>
          <w:rtl/>
        </w:rPr>
        <w:t>ולו</w:t>
      </w:r>
      <w:r w:rsidRPr="00562CF7">
        <w:rPr>
          <w:rFonts w:ascii="Century" w:hAnsi="Century" w:cs="Miriam"/>
          <w:b/>
          <w:spacing w:val="0"/>
          <w:szCs w:val="24"/>
          <w:rtl/>
        </w:rPr>
        <w:t xml:space="preserve"> </w:t>
      </w:r>
      <w:r w:rsidRPr="00562CF7">
        <w:rPr>
          <w:rFonts w:ascii="Century" w:hAnsi="Century" w:cs="Miriam" w:hint="eastAsia"/>
          <w:b/>
          <w:spacing w:val="0"/>
          <w:szCs w:val="24"/>
          <w:rtl/>
        </w:rPr>
        <w:t>מאחר</w:t>
      </w:r>
      <w:r w:rsidRPr="00562CF7">
        <w:rPr>
          <w:rFonts w:ascii="Century" w:hAnsi="Century" w:cs="Miriam"/>
          <w:b/>
          <w:spacing w:val="0"/>
          <w:szCs w:val="24"/>
          <w:rtl/>
        </w:rPr>
        <w:t xml:space="preserve"> </w:t>
      </w:r>
      <w:r w:rsidRPr="00562CF7">
        <w:rPr>
          <w:rFonts w:ascii="Century" w:hAnsi="Century" w:cs="Miriam" w:hint="eastAsia"/>
          <w:b/>
          <w:spacing w:val="0"/>
          <w:szCs w:val="24"/>
          <w:rtl/>
        </w:rPr>
        <w:t>שעבירה</w:t>
      </w:r>
      <w:r w:rsidRPr="00562CF7">
        <w:rPr>
          <w:rFonts w:ascii="Century" w:hAnsi="Century" w:cs="Miriam"/>
          <w:b/>
          <w:spacing w:val="0"/>
          <w:szCs w:val="24"/>
          <w:rtl/>
        </w:rPr>
        <w:t xml:space="preserve"> </w:t>
      </w:r>
      <w:r w:rsidRPr="00562CF7">
        <w:rPr>
          <w:rFonts w:ascii="Century" w:hAnsi="Century" w:cs="Miriam" w:hint="eastAsia"/>
          <w:b/>
          <w:spacing w:val="0"/>
          <w:szCs w:val="24"/>
          <w:rtl/>
        </w:rPr>
        <w:t>זו</w:t>
      </w:r>
      <w:r w:rsidRPr="00562CF7">
        <w:rPr>
          <w:rFonts w:ascii="Century" w:hAnsi="Century" w:cs="Miriam"/>
          <w:b/>
          <w:spacing w:val="0"/>
          <w:szCs w:val="24"/>
          <w:rtl/>
        </w:rPr>
        <w:t xml:space="preserve"> </w:t>
      </w:r>
      <w:r w:rsidRPr="00562CF7">
        <w:rPr>
          <w:rFonts w:ascii="Century" w:hAnsi="Century" w:cs="Miriam" w:hint="eastAsia"/>
          <w:b/>
          <w:spacing w:val="0"/>
          <w:szCs w:val="24"/>
          <w:rtl/>
        </w:rPr>
        <w:t>נושאת</w:t>
      </w:r>
      <w:r w:rsidRPr="00562CF7">
        <w:rPr>
          <w:rFonts w:ascii="Century" w:hAnsi="Century" w:cs="Miriam"/>
          <w:b/>
          <w:spacing w:val="0"/>
          <w:szCs w:val="24"/>
          <w:rtl/>
        </w:rPr>
        <w:t xml:space="preserve"> </w:t>
      </w:r>
      <w:r w:rsidRPr="00562CF7">
        <w:rPr>
          <w:rFonts w:ascii="Century" w:hAnsi="Century" w:cs="Miriam" w:hint="eastAsia"/>
          <w:b/>
          <w:spacing w:val="0"/>
          <w:szCs w:val="24"/>
          <w:rtl/>
        </w:rPr>
        <w:t>עמה</w:t>
      </w:r>
      <w:r w:rsidRPr="00562CF7">
        <w:rPr>
          <w:rFonts w:ascii="Century" w:hAnsi="Century" w:cs="Miriam"/>
          <w:b/>
          <w:spacing w:val="0"/>
          <w:szCs w:val="24"/>
          <w:rtl/>
        </w:rPr>
        <w:t xml:space="preserve"> </w:t>
      </w:r>
      <w:r w:rsidRPr="00562CF7">
        <w:rPr>
          <w:rFonts w:ascii="Century" w:hAnsi="Century" w:cs="Miriam" w:hint="eastAsia"/>
          <w:b/>
          <w:spacing w:val="0"/>
          <w:szCs w:val="24"/>
          <w:rtl/>
        </w:rPr>
        <w:t>עונש</w:t>
      </w:r>
      <w:r w:rsidRPr="00562CF7">
        <w:rPr>
          <w:rFonts w:ascii="Century" w:hAnsi="Century" w:cs="Miriam"/>
          <w:b/>
          <w:spacing w:val="0"/>
          <w:szCs w:val="24"/>
          <w:rtl/>
        </w:rPr>
        <w:t xml:space="preserve"> </w:t>
      </w:r>
      <w:r w:rsidRPr="00562CF7">
        <w:rPr>
          <w:rFonts w:ascii="Century" w:hAnsi="Century" w:cs="Miriam" w:hint="eastAsia"/>
          <w:b/>
          <w:spacing w:val="0"/>
          <w:szCs w:val="24"/>
          <w:rtl/>
        </w:rPr>
        <w:t>מרבי</w:t>
      </w:r>
      <w:r w:rsidRPr="00562CF7">
        <w:rPr>
          <w:rFonts w:ascii="Century" w:hAnsi="Century" w:cs="Miriam"/>
          <w:b/>
          <w:spacing w:val="0"/>
          <w:szCs w:val="24"/>
          <w:rtl/>
        </w:rPr>
        <w:t xml:space="preserve"> </w:t>
      </w:r>
      <w:r w:rsidRPr="00562CF7">
        <w:rPr>
          <w:rFonts w:ascii="Century" w:hAnsi="Century" w:cs="Miriam" w:hint="eastAsia"/>
          <w:b/>
          <w:spacing w:val="0"/>
          <w:szCs w:val="24"/>
          <w:rtl/>
        </w:rPr>
        <w:t>של</w:t>
      </w:r>
      <w:r w:rsidRPr="00562CF7">
        <w:rPr>
          <w:rFonts w:ascii="Century" w:hAnsi="Century" w:cs="Miriam"/>
          <w:b/>
          <w:spacing w:val="0"/>
          <w:szCs w:val="24"/>
          <w:rtl/>
        </w:rPr>
        <w:t xml:space="preserve"> </w:t>
      </w:r>
      <w:r w:rsidRPr="00562CF7">
        <w:rPr>
          <w:rFonts w:ascii="Century" w:hAnsi="Century" w:cs="Miriam" w:hint="eastAsia"/>
          <w:b/>
          <w:spacing w:val="0"/>
          <w:szCs w:val="24"/>
          <w:rtl/>
        </w:rPr>
        <w:t>מאסר</w:t>
      </w:r>
      <w:r w:rsidRPr="00562CF7">
        <w:rPr>
          <w:rFonts w:ascii="Century" w:hAnsi="Century" w:cs="Miriam"/>
          <w:b/>
          <w:spacing w:val="0"/>
          <w:szCs w:val="24"/>
          <w:rtl/>
        </w:rPr>
        <w:t xml:space="preserve"> </w:t>
      </w:r>
      <w:r w:rsidRPr="00562CF7">
        <w:rPr>
          <w:rFonts w:ascii="Century" w:hAnsi="Century" w:cs="Miriam" w:hint="eastAsia"/>
          <w:b/>
          <w:spacing w:val="0"/>
          <w:szCs w:val="24"/>
          <w:rtl/>
        </w:rPr>
        <w:t>עולם</w:t>
      </w:r>
      <w:r w:rsidRPr="00562CF7">
        <w:rPr>
          <w:rFonts w:ascii="Century" w:hAnsi="Century" w:cs="Miriam"/>
          <w:b/>
          <w:spacing w:val="0"/>
          <w:szCs w:val="24"/>
          <w:rtl/>
        </w:rPr>
        <w:t xml:space="preserve">. </w:t>
      </w:r>
      <w:r w:rsidRPr="00562CF7">
        <w:rPr>
          <w:rFonts w:ascii="Century" w:hAnsi="Century" w:cs="Miriam" w:hint="eastAsia"/>
          <w:b/>
          <w:spacing w:val="0"/>
          <w:szCs w:val="24"/>
          <w:rtl/>
        </w:rPr>
        <w:t>מכאן</w:t>
      </w:r>
      <w:r w:rsidRPr="00562CF7">
        <w:rPr>
          <w:rFonts w:ascii="Century" w:hAnsi="Century" w:cs="Miriam"/>
          <w:b/>
          <w:spacing w:val="0"/>
          <w:szCs w:val="24"/>
          <w:rtl/>
        </w:rPr>
        <w:t xml:space="preserve">, </w:t>
      </w:r>
      <w:r w:rsidRPr="00562CF7">
        <w:rPr>
          <w:rFonts w:ascii="Century" w:hAnsi="Century" w:cs="Miriam" w:hint="eastAsia"/>
          <w:b/>
          <w:spacing w:val="0"/>
          <w:szCs w:val="24"/>
          <w:rtl/>
        </w:rPr>
        <w:t>שטווח</w:t>
      </w:r>
      <w:r w:rsidRPr="00562CF7">
        <w:rPr>
          <w:rFonts w:ascii="Century" w:hAnsi="Century" w:cs="Miriam"/>
          <w:b/>
          <w:spacing w:val="0"/>
          <w:szCs w:val="24"/>
          <w:rtl/>
        </w:rPr>
        <w:t xml:space="preserve"> </w:t>
      </w:r>
      <w:r w:rsidRPr="00562CF7">
        <w:rPr>
          <w:rFonts w:ascii="Century" w:hAnsi="Century" w:cs="Miriam" w:hint="eastAsia"/>
          <w:b/>
          <w:spacing w:val="0"/>
          <w:szCs w:val="24"/>
          <w:rtl/>
        </w:rPr>
        <w:t>הענישה</w:t>
      </w:r>
      <w:r w:rsidRPr="00562CF7">
        <w:rPr>
          <w:rFonts w:ascii="Century" w:hAnsi="Century" w:cs="Miriam"/>
          <w:b/>
          <w:spacing w:val="0"/>
          <w:szCs w:val="24"/>
          <w:rtl/>
        </w:rPr>
        <w:t xml:space="preserve"> </w:t>
      </w:r>
      <w:r w:rsidRPr="00562CF7">
        <w:rPr>
          <w:rFonts w:ascii="Century" w:hAnsi="Century" w:cs="Miriam" w:hint="eastAsia"/>
          <w:b/>
          <w:spacing w:val="0"/>
          <w:szCs w:val="24"/>
          <w:rtl/>
        </w:rPr>
        <w:t>בגדרה</w:t>
      </w:r>
      <w:r w:rsidRPr="00562CF7">
        <w:rPr>
          <w:rFonts w:ascii="Century" w:hAnsi="Century" w:cs="Miriam"/>
          <w:b/>
          <w:spacing w:val="0"/>
          <w:szCs w:val="24"/>
          <w:rtl/>
        </w:rPr>
        <w:t xml:space="preserve"> </w:t>
      </w:r>
      <w:r w:rsidRPr="00562CF7">
        <w:rPr>
          <w:rFonts w:ascii="Century" w:hAnsi="Century" w:cs="Miriam" w:hint="eastAsia"/>
          <w:b/>
          <w:spacing w:val="0"/>
          <w:szCs w:val="24"/>
          <w:rtl/>
        </w:rPr>
        <w:t>עלול</w:t>
      </w:r>
      <w:r w:rsidRPr="00562CF7">
        <w:rPr>
          <w:rFonts w:ascii="Century" w:hAnsi="Century" w:cs="Miriam"/>
          <w:b/>
          <w:spacing w:val="0"/>
          <w:szCs w:val="24"/>
          <w:rtl/>
        </w:rPr>
        <w:t xml:space="preserve">, </w:t>
      </w:r>
      <w:r w:rsidRPr="00562CF7">
        <w:rPr>
          <w:rFonts w:ascii="Century" w:hAnsi="Century" w:cs="Miriam" w:hint="eastAsia"/>
          <w:b/>
          <w:spacing w:val="0"/>
          <w:szCs w:val="24"/>
          <w:rtl/>
        </w:rPr>
        <w:t>בהעדר</w:t>
      </w:r>
      <w:r w:rsidRPr="00562CF7">
        <w:rPr>
          <w:rFonts w:ascii="Century" w:hAnsi="Century" w:cs="Miriam"/>
          <w:b/>
          <w:spacing w:val="0"/>
          <w:szCs w:val="24"/>
          <w:rtl/>
        </w:rPr>
        <w:t xml:space="preserve"> </w:t>
      </w:r>
      <w:r w:rsidRPr="00562CF7">
        <w:rPr>
          <w:rFonts w:ascii="Century" w:hAnsi="Century" w:cs="Miriam" w:hint="eastAsia"/>
          <w:b/>
          <w:spacing w:val="0"/>
          <w:szCs w:val="24"/>
          <w:rtl/>
        </w:rPr>
        <w:t>התוויית</w:t>
      </w:r>
      <w:r w:rsidRPr="00562CF7">
        <w:rPr>
          <w:rFonts w:ascii="Century" w:hAnsi="Century" w:cs="Miriam"/>
          <w:b/>
          <w:spacing w:val="0"/>
          <w:szCs w:val="24"/>
          <w:rtl/>
        </w:rPr>
        <w:t xml:space="preserve"> </w:t>
      </w:r>
      <w:r w:rsidRPr="00562CF7">
        <w:rPr>
          <w:rFonts w:ascii="Century" w:hAnsi="Century" w:cs="Miriam" w:hint="eastAsia"/>
          <w:b/>
          <w:spacing w:val="0"/>
          <w:szCs w:val="24"/>
          <w:rtl/>
        </w:rPr>
        <w:t>מדיניות</w:t>
      </w:r>
      <w:r w:rsidRPr="00562CF7">
        <w:rPr>
          <w:rFonts w:ascii="Century" w:hAnsi="Century" w:cs="Miriam"/>
          <w:b/>
          <w:spacing w:val="0"/>
          <w:szCs w:val="24"/>
          <w:rtl/>
        </w:rPr>
        <w:t xml:space="preserve"> </w:t>
      </w:r>
      <w:r w:rsidRPr="00562CF7">
        <w:rPr>
          <w:rFonts w:ascii="Century" w:hAnsi="Century" w:cs="Miriam" w:hint="eastAsia"/>
          <w:b/>
          <w:spacing w:val="0"/>
          <w:szCs w:val="24"/>
          <w:rtl/>
        </w:rPr>
        <w:t>ענישה</w:t>
      </w:r>
      <w:r w:rsidRPr="00562CF7">
        <w:rPr>
          <w:rFonts w:ascii="Century" w:hAnsi="Century" w:cs="Miriam"/>
          <w:b/>
          <w:spacing w:val="0"/>
          <w:szCs w:val="24"/>
          <w:rtl/>
        </w:rPr>
        <w:t xml:space="preserve"> </w:t>
      </w:r>
      <w:r w:rsidRPr="00562CF7">
        <w:rPr>
          <w:rFonts w:ascii="Century" w:hAnsi="Century" w:cs="Miriam" w:hint="eastAsia"/>
          <w:b/>
          <w:spacing w:val="0"/>
          <w:szCs w:val="24"/>
          <w:rtl/>
        </w:rPr>
        <w:t>סדורה</w:t>
      </w:r>
      <w:r w:rsidRPr="00562CF7">
        <w:rPr>
          <w:rFonts w:ascii="Century" w:hAnsi="Century" w:cs="Miriam"/>
          <w:b/>
          <w:spacing w:val="0"/>
          <w:szCs w:val="24"/>
          <w:rtl/>
        </w:rPr>
        <w:t xml:space="preserve">, </w:t>
      </w:r>
      <w:r w:rsidRPr="00562CF7">
        <w:rPr>
          <w:rFonts w:ascii="Century" w:hAnsi="Century" w:cs="Miriam" w:hint="eastAsia"/>
          <w:b/>
          <w:spacing w:val="0"/>
          <w:szCs w:val="24"/>
          <w:rtl/>
        </w:rPr>
        <w:t>להיות</w:t>
      </w:r>
      <w:r w:rsidRPr="00562CF7">
        <w:rPr>
          <w:rFonts w:ascii="Century" w:hAnsi="Century" w:cs="Miriam"/>
          <w:b/>
          <w:spacing w:val="0"/>
          <w:szCs w:val="24"/>
          <w:rtl/>
        </w:rPr>
        <w:t xml:space="preserve"> </w:t>
      </w:r>
      <w:r w:rsidRPr="00562CF7">
        <w:rPr>
          <w:rFonts w:ascii="Century" w:hAnsi="Century" w:cs="Miriam" w:hint="eastAsia"/>
          <w:b/>
          <w:spacing w:val="0"/>
          <w:szCs w:val="24"/>
          <w:rtl/>
        </w:rPr>
        <w:t>רחב</w:t>
      </w:r>
      <w:r w:rsidRPr="00562CF7">
        <w:rPr>
          <w:rFonts w:ascii="Century" w:hAnsi="Century" w:cs="Miriam"/>
          <w:b/>
          <w:spacing w:val="0"/>
          <w:szCs w:val="24"/>
          <w:rtl/>
        </w:rPr>
        <w:t xml:space="preserve"> </w:t>
      </w:r>
      <w:r w:rsidRPr="00562CF7">
        <w:rPr>
          <w:rFonts w:ascii="Century" w:hAnsi="Century" w:cs="Miriam" w:hint="eastAsia"/>
          <w:b/>
          <w:spacing w:val="0"/>
          <w:szCs w:val="24"/>
          <w:rtl/>
        </w:rPr>
        <w:t>באופן</w:t>
      </w:r>
      <w:r w:rsidRPr="00562CF7">
        <w:rPr>
          <w:rFonts w:ascii="Century" w:hAnsi="Century" w:cs="Miriam"/>
          <w:b/>
          <w:spacing w:val="0"/>
          <w:szCs w:val="24"/>
          <w:rtl/>
        </w:rPr>
        <w:t xml:space="preserve"> </w:t>
      </w:r>
      <w:r w:rsidRPr="00562CF7">
        <w:rPr>
          <w:rFonts w:ascii="Century" w:hAnsi="Century" w:cs="Miriam" w:hint="eastAsia"/>
          <w:b/>
          <w:spacing w:val="0"/>
          <w:szCs w:val="24"/>
          <w:rtl/>
        </w:rPr>
        <w:t>בלתי</w:t>
      </w:r>
      <w:r w:rsidRPr="00562CF7">
        <w:rPr>
          <w:rFonts w:ascii="Century" w:hAnsi="Century" w:cs="Miriam"/>
          <w:b/>
          <w:spacing w:val="0"/>
          <w:szCs w:val="24"/>
          <w:rtl/>
        </w:rPr>
        <w:t xml:space="preserve"> </w:t>
      </w:r>
      <w:r w:rsidRPr="00562CF7">
        <w:rPr>
          <w:rFonts w:ascii="Century" w:hAnsi="Century" w:cs="Miriam" w:hint="eastAsia"/>
          <w:b/>
          <w:spacing w:val="0"/>
          <w:szCs w:val="24"/>
          <w:rtl/>
        </w:rPr>
        <w:t>רצוי</w:t>
      </w:r>
      <w:r w:rsidRPr="008A5181">
        <w:rPr>
          <w:rtl/>
        </w:rPr>
        <w:t>" (</w:t>
      </w:r>
      <w:r w:rsidRPr="008A5181">
        <w:rPr>
          <w:rFonts w:hint="eastAsia"/>
          <w:rtl/>
        </w:rPr>
        <w:t>ע</w:t>
      </w:r>
      <w:r w:rsidRPr="008A5181">
        <w:rPr>
          <w:rtl/>
        </w:rPr>
        <w:t>"</w:t>
      </w:r>
      <w:r w:rsidRPr="008A5181">
        <w:rPr>
          <w:rFonts w:hint="eastAsia"/>
          <w:rtl/>
        </w:rPr>
        <w:t>פ</w:t>
      </w:r>
      <w:r w:rsidRPr="008A5181">
        <w:rPr>
          <w:rtl/>
        </w:rPr>
        <w:t xml:space="preserve"> 1442/22 </w:t>
      </w:r>
      <w:r w:rsidRPr="008A5181">
        <w:rPr>
          <w:rFonts w:ascii="Century" w:hAnsi="Century" w:cs="Miriam" w:hint="eastAsia"/>
          <w:b/>
          <w:spacing w:val="0"/>
          <w:szCs w:val="24"/>
          <w:rtl/>
        </w:rPr>
        <w:t>ניקולקין</w:t>
      </w:r>
      <w:r w:rsidRPr="008A5181">
        <w:rPr>
          <w:rFonts w:ascii="Century" w:hAnsi="Century" w:cs="Miriam"/>
          <w:b/>
          <w:spacing w:val="0"/>
          <w:szCs w:val="24"/>
          <w:rtl/>
        </w:rPr>
        <w:t xml:space="preserve"> </w:t>
      </w:r>
      <w:r w:rsidRPr="008A5181">
        <w:rPr>
          <w:rFonts w:ascii="Century" w:hAnsi="Century" w:cs="Miriam" w:hint="eastAsia"/>
          <w:b/>
          <w:spacing w:val="0"/>
          <w:szCs w:val="24"/>
          <w:rtl/>
        </w:rPr>
        <w:t>נ</w:t>
      </w:r>
      <w:r w:rsidRPr="008A5181">
        <w:rPr>
          <w:rFonts w:ascii="Century" w:hAnsi="Century" w:cs="Miriam"/>
          <w:b/>
          <w:spacing w:val="0"/>
          <w:szCs w:val="24"/>
          <w:rtl/>
        </w:rPr>
        <w:t xml:space="preserve">' </w:t>
      </w:r>
      <w:r w:rsidRPr="008A5181">
        <w:rPr>
          <w:rFonts w:ascii="Century" w:hAnsi="Century" w:cs="Miriam" w:hint="eastAsia"/>
          <w:b/>
          <w:spacing w:val="0"/>
          <w:szCs w:val="24"/>
          <w:rtl/>
        </w:rPr>
        <w:t>מדינת</w:t>
      </w:r>
      <w:r w:rsidRPr="008A5181">
        <w:rPr>
          <w:rFonts w:ascii="Century" w:hAnsi="Century" w:cs="Miriam"/>
          <w:b/>
          <w:spacing w:val="0"/>
          <w:szCs w:val="24"/>
          <w:rtl/>
        </w:rPr>
        <w:t xml:space="preserve"> </w:t>
      </w:r>
      <w:r w:rsidRPr="00363EB4">
        <w:rPr>
          <w:rFonts w:ascii="Century" w:hAnsi="Century" w:cs="Miriam" w:hint="eastAsia"/>
          <w:b/>
          <w:spacing w:val="0"/>
          <w:szCs w:val="24"/>
          <w:rtl/>
        </w:rPr>
        <w:t>ישראל</w:t>
      </w:r>
      <w:r w:rsidRPr="00363EB4">
        <w:rPr>
          <w:rtl/>
        </w:rPr>
        <w:t xml:space="preserve">, </w:t>
      </w:r>
      <w:r w:rsidRPr="00363EB4">
        <w:rPr>
          <w:rFonts w:hint="eastAsia"/>
          <w:rtl/>
        </w:rPr>
        <w:t>פסקה</w:t>
      </w:r>
      <w:r w:rsidRPr="00363EB4">
        <w:rPr>
          <w:rtl/>
        </w:rPr>
        <w:t xml:space="preserve"> 14 (28.5.2023)</w:t>
      </w:r>
      <w:r w:rsidRPr="00363EB4">
        <w:rPr>
          <w:rFonts w:hint="cs"/>
          <w:rtl/>
        </w:rPr>
        <w:t xml:space="preserve"> (להלן: עניין </w:t>
      </w:r>
      <w:r w:rsidRPr="00363EB4">
        <w:rPr>
          <w:rFonts w:ascii="Century" w:hAnsi="Century" w:cs="Miriam" w:hint="cs"/>
          <w:b/>
          <w:spacing w:val="0"/>
          <w:szCs w:val="24"/>
          <w:rtl/>
        </w:rPr>
        <w:t>ניקולקין</w:t>
      </w:r>
      <w:r w:rsidRPr="00363EB4">
        <w:rPr>
          <w:rFonts w:hint="cs"/>
          <w:rtl/>
        </w:rPr>
        <w:t>)</w:t>
      </w:r>
      <w:r w:rsidRPr="00363EB4">
        <w:rPr>
          <w:rtl/>
        </w:rPr>
        <w:t>).</w:t>
      </w:r>
    </w:p>
    <w:p w:rsidR="00292D3F" w:rsidRPr="00363EB4" w:rsidRDefault="00292D3F" w:rsidP="00292D3F">
      <w:pPr>
        <w:pStyle w:val="Ruller41"/>
        <w:rPr>
          <w:rFonts w:ascii="FrankRuehl" w:hAnsi="FrankRuehl"/>
          <w:color w:val="000000"/>
          <w:sz w:val="28"/>
          <w:shd w:val="clear" w:color="auto" w:fill="FFFFFF"/>
          <w:rtl/>
        </w:rPr>
      </w:pPr>
    </w:p>
    <w:p w:rsidR="00292D3F" w:rsidRPr="002856CA" w:rsidRDefault="00292D3F" w:rsidP="00292D3F">
      <w:pPr>
        <w:pStyle w:val="Ruller4"/>
        <w:rPr>
          <w:shd w:val="clear" w:color="auto" w:fill="FFFFFF"/>
        </w:rPr>
      </w:pPr>
      <w:r w:rsidRPr="002856CA">
        <w:rPr>
          <w:rFonts w:hint="cs"/>
          <w:shd w:val="clear" w:color="auto" w:fill="FFFFFF"/>
          <w:rtl/>
        </w:rPr>
        <w:t xml:space="preserve">שתי סוגיות מרכזיות ניצבות בערעורים שלפנינו </w:t>
      </w:r>
      <w:r w:rsidRPr="002856CA">
        <w:rPr>
          <w:shd w:val="clear" w:color="auto" w:fill="FFFFFF"/>
          <w:rtl/>
        </w:rPr>
        <w:t>–</w:t>
      </w:r>
      <w:r w:rsidRPr="002856CA">
        <w:rPr>
          <w:rFonts w:hint="cs"/>
          <w:shd w:val="clear" w:color="auto" w:fill="FFFFFF"/>
          <w:rtl/>
        </w:rPr>
        <w:t xml:space="preserve"> </w:t>
      </w:r>
      <w:r w:rsidRPr="002856CA">
        <w:rPr>
          <w:rFonts w:ascii="Century" w:hAnsi="Century" w:cs="Miriam" w:hint="cs"/>
          <w:b/>
          <w:spacing w:val="0"/>
          <w:sz w:val="22"/>
          <w:szCs w:val="24"/>
          <w:shd w:val="clear" w:color="auto" w:fill="FFFFFF"/>
          <w:rtl/>
        </w:rPr>
        <w:t>האחת</w:t>
      </w:r>
      <w:r w:rsidRPr="002856CA">
        <w:rPr>
          <w:rFonts w:hint="cs"/>
          <w:shd w:val="clear" w:color="auto" w:fill="FFFFFF"/>
          <w:rtl/>
        </w:rPr>
        <w:t xml:space="preserve">, גדרי מתחם העונש ההולם בעניינו של המערער, בהתחשב בסכסוך שקדם לרצח וביתר נסיבות מעשה העבירה; </w:t>
      </w:r>
      <w:r w:rsidRPr="002856CA">
        <w:rPr>
          <w:rFonts w:ascii="Century" w:hAnsi="Century" w:cs="Miriam" w:hint="cs"/>
          <w:b/>
          <w:spacing w:val="0"/>
          <w:sz w:val="22"/>
          <w:szCs w:val="24"/>
          <w:shd w:val="clear" w:color="auto" w:fill="FFFFFF"/>
          <w:rtl/>
        </w:rPr>
        <w:t>השנייה</w:t>
      </w:r>
      <w:r w:rsidRPr="002856CA">
        <w:rPr>
          <w:rFonts w:hint="cs"/>
          <w:shd w:val="clear" w:color="auto" w:fill="FFFFFF"/>
          <w:rtl/>
        </w:rPr>
        <w:t>, חריגה לקולה</w:t>
      </w:r>
      <w:r w:rsidR="00F266C5">
        <w:rPr>
          <w:rFonts w:hint="cs"/>
          <w:shd w:val="clear" w:color="auto" w:fill="FFFFFF"/>
          <w:rtl/>
        </w:rPr>
        <w:t xml:space="preserve"> מגדרי מתחם הענישה בעבירת הרצח הבסיסית</w:t>
      </w:r>
      <w:r w:rsidRPr="002856CA">
        <w:rPr>
          <w:rFonts w:hint="cs"/>
          <w:shd w:val="clear" w:color="auto" w:fill="FFFFFF"/>
          <w:rtl/>
        </w:rPr>
        <w:t xml:space="preserve">, הן במישור העקרוני הן בעניינו הפרטני של המערער דנן. </w:t>
      </w:r>
    </w:p>
    <w:p w:rsidR="00292D3F" w:rsidRPr="001C5CD5" w:rsidRDefault="00292D3F" w:rsidP="00292D3F">
      <w:pPr>
        <w:pStyle w:val="Ruller4"/>
        <w:numPr>
          <w:ilvl w:val="0"/>
          <w:numId w:val="0"/>
        </w:numPr>
        <w:rPr>
          <w:shd w:val="clear" w:color="auto" w:fill="FFFFFF"/>
          <w:rtl/>
        </w:rPr>
      </w:pPr>
      <w:r w:rsidRPr="009169B9">
        <w:rPr>
          <w:shd w:val="clear" w:color="auto" w:fill="FFFFFF"/>
          <w:rtl/>
        </w:rPr>
        <w:tab/>
      </w:r>
    </w:p>
    <w:p w:rsidR="00292D3F" w:rsidRPr="00293112" w:rsidRDefault="00292D3F" w:rsidP="00292D3F">
      <w:pPr>
        <w:pStyle w:val="Ruller41"/>
        <w:rPr>
          <w:rFonts w:ascii="Century" w:hAnsi="Century" w:cs="Miriam"/>
          <w:b/>
          <w:spacing w:val="0"/>
          <w:szCs w:val="24"/>
          <w:rtl/>
        </w:rPr>
      </w:pPr>
      <w:r>
        <w:rPr>
          <w:rFonts w:ascii="Century" w:hAnsi="Century" w:cs="Miriam" w:hint="cs"/>
          <w:b/>
          <w:spacing w:val="0"/>
          <w:szCs w:val="24"/>
          <w:rtl/>
        </w:rPr>
        <w:t xml:space="preserve">(א) גדרי </w:t>
      </w:r>
      <w:r w:rsidRPr="00293112">
        <w:rPr>
          <w:rFonts w:ascii="Century" w:hAnsi="Century" w:cs="Miriam" w:hint="cs"/>
          <w:b/>
          <w:spacing w:val="0"/>
          <w:szCs w:val="24"/>
          <w:rtl/>
        </w:rPr>
        <w:t xml:space="preserve">מתחם </w:t>
      </w:r>
      <w:r>
        <w:rPr>
          <w:rFonts w:ascii="Century" w:hAnsi="Century" w:cs="Miriam" w:hint="cs"/>
          <w:b/>
          <w:spacing w:val="0"/>
          <w:szCs w:val="24"/>
          <w:rtl/>
        </w:rPr>
        <w:t>ה</w:t>
      </w:r>
      <w:r w:rsidRPr="00293112">
        <w:rPr>
          <w:rFonts w:ascii="Century" w:hAnsi="Century" w:cs="Miriam" w:hint="cs"/>
          <w:b/>
          <w:spacing w:val="0"/>
          <w:szCs w:val="24"/>
          <w:rtl/>
        </w:rPr>
        <w:t>עונש ההולם</w:t>
      </w:r>
    </w:p>
    <w:p w:rsidR="00292D3F" w:rsidRDefault="00292D3F" w:rsidP="00292D3F">
      <w:pPr>
        <w:pStyle w:val="Ruller41"/>
        <w:rPr>
          <w:rFonts w:ascii="FrankRuehl" w:hAnsi="FrankRuehl"/>
          <w:color w:val="000000"/>
          <w:sz w:val="28"/>
          <w:shd w:val="clear" w:color="auto" w:fill="FFFFFF"/>
          <w:rtl/>
        </w:rPr>
      </w:pPr>
    </w:p>
    <w:p w:rsidR="00292D3F" w:rsidRDefault="00292D3F" w:rsidP="00292D3F">
      <w:pPr>
        <w:pStyle w:val="Ruller4"/>
        <w:rPr>
          <w:rtl/>
        </w:rPr>
      </w:pPr>
      <w:r>
        <w:rPr>
          <w:rFonts w:hint="cs"/>
          <w:shd w:val="clear" w:color="auto" w:fill="FFFFFF"/>
          <w:rtl/>
        </w:rPr>
        <w:t xml:space="preserve">מאז כניסת הרפורמה בעבירות ההמתה לתוקף הולכת ומתעצבת מדיניות הענישה הנוהגת. כך בין היתר, בעניינה של עבירת הרצח </w:t>
      </w:r>
      <w:r w:rsidR="00F266C5">
        <w:rPr>
          <w:rFonts w:hint="cs"/>
          <w:shd w:val="clear" w:color="auto" w:fill="FFFFFF"/>
          <w:rtl/>
        </w:rPr>
        <w:t>הבסיסית</w:t>
      </w:r>
      <w:r>
        <w:rPr>
          <w:rFonts w:hint="cs"/>
          <w:shd w:val="clear" w:color="auto" w:fill="FFFFFF"/>
          <w:rtl/>
        </w:rPr>
        <w:t xml:space="preserve"> ביסוד נפשי של כוונה, פסקי הדין של בית משפט זה מוסיפים נדבך על גבי נדבך לכדי גיבוש ענישה הולמת ומתאימה (ראו בהרחבה: </w:t>
      </w:r>
      <w:r w:rsidRPr="00EB2934">
        <w:rPr>
          <w:rFonts w:hint="eastAsia"/>
          <w:shd w:val="clear" w:color="auto" w:fill="FFFFFF"/>
          <w:rtl/>
        </w:rPr>
        <w:t>ע</w:t>
      </w:r>
      <w:r w:rsidRPr="00EB2934">
        <w:rPr>
          <w:shd w:val="clear" w:color="auto" w:fill="FFFFFF"/>
          <w:rtl/>
        </w:rPr>
        <w:t>"</w:t>
      </w:r>
      <w:r w:rsidRPr="00EB2934">
        <w:rPr>
          <w:rFonts w:hint="eastAsia"/>
          <w:shd w:val="clear" w:color="auto" w:fill="FFFFFF"/>
          <w:rtl/>
        </w:rPr>
        <w:t>פ</w:t>
      </w:r>
      <w:r w:rsidRPr="00EB2934">
        <w:rPr>
          <w:shd w:val="clear" w:color="auto" w:fill="FFFFFF"/>
          <w:rtl/>
        </w:rPr>
        <w:t xml:space="preserve"> 1188/23 </w:t>
      </w:r>
      <w:proofErr w:type="spellStart"/>
      <w:r w:rsidRPr="00EB2934">
        <w:rPr>
          <w:rFonts w:ascii="Century" w:hAnsi="Century" w:cs="Miriam" w:hint="eastAsia"/>
          <w:b/>
          <w:spacing w:val="0"/>
          <w:sz w:val="22"/>
          <w:szCs w:val="24"/>
          <w:shd w:val="clear" w:color="auto" w:fill="FFFFFF"/>
          <w:rtl/>
        </w:rPr>
        <w:t>אלעמורי</w:t>
      </w:r>
      <w:proofErr w:type="spellEnd"/>
      <w:r w:rsidRPr="00EB2934">
        <w:rPr>
          <w:rFonts w:ascii="Century" w:hAnsi="Century" w:cs="Miriam"/>
          <w:b/>
          <w:spacing w:val="0"/>
          <w:sz w:val="22"/>
          <w:szCs w:val="24"/>
          <w:shd w:val="clear" w:color="auto" w:fill="FFFFFF"/>
          <w:rtl/>
        </w:rPr>
        <w:t xml:space="preserve"> </w:t>
      </w:r>
      <w:r w:rsidRPr="00EB2934">
        <w:rPr>
          <w:rFonts w:ascii="Century" w:hAnsi="Century" w:cs="Miriam" w:hint="eastAsia"/>
          <w:b/>
          <w:spacing w:val="0"/>
          <w:sz w:val="22"/>
          <w:szCs w:val="24"/>
          <w:shd w:val="clear" w:color="auto" w:fill="FFFFFF"/>
          <w:rtl/>
        </w:rPr>
        <w:t>נ</w:t>
      </w:r>
      <w:r w:rsidRPr="00EB2934">
        <w:rPr>
          <w:rFonts w:ascii="Century" w:hAnsi="Century" w:cs="Miriam"/>
          <w:b/>
          <w:spacing w:val="0"/>
          <w:sz w:val="22"/>
          <w:szCs w:val="24"/>
          <w:shd w:val="clear" w:color="auto" w:fill="FFFFFF"/>
          <w:rtl/>
        </w:rPr>
        <w:t xml:space="preserve">' </w:t>
      </w:r>
      <w:r w:rsidRPr="00EB2934">
        <w:rPr>
          <w:rFonts w:ascii="Century" w:hAnsi="Century" w:cs="Miriam" w:hint="eastAsia"/>
          <w:b/>
          <w:spacing w:val="0"/>
          <w:sz w:val="22"/>
          <w:szCs w:val="24"/>
          <w:shd w:val="clear" w:color="auto" w:fill="FFFFFF"/>
          <w:rtl/>
        </w:rPr>
        <w:t>מדינת</w:t>
      </w:r>
      <w:r w:rsidRPr="00EB2934">
        <w:rPr>
          <w:rFonts w:ascii="Century" w:hAnsi="Century" w:cs="Miriam"/>
          <w:b/>
          <w:spacing w:val="0"/>
          <w:sz w:val="22"/>
          <w:szCs w:val="24"/>
          <w:shd w:val="clear" w:color="auto" w:fill="FFFFFF"/>
          <w:rtl/>
        </w:rPr>
        <w:t xml:space="preserve"> </w:t>
      </w:r>
      <w:r w:rsidRPr="00EB2934">
        <w:rPr>
          <w:rFonts w:ascii="Century" w:hAnsi="Century" w:cs="Miriam" w:hint="eastAsia"/>
          <w:b/>
          <w:spacing w:val="0"/>
          <w:sz w:val="22"/>
          <w:szCs w:val="24"/>
          <w:shd w:val="clear" w:color="auto" w:fill="FFFFFF"/>
          <w:rtl/>
        </w:rPr>
        <w:t>ישראל</w:t>
      </w:r>
      <w:r>
        <w:rPr>
          <w:rFonts w:hint="cs"/>
          <w:shd w:val="clear" w:color="auto" w:fill="FFFFFF"/>
          <w:rtl/>
        </w:rPr>
        <w:t>, פסקאות 13-10</w:t>
      </w:r>
      <w:r w:rsidRPr="00EB2934">
        <w:rPr>
          <w:shd w:val="clear" w:color="auto" w:fill="FFFFFF"/>
          <w:rtl/>
        </w:rPr>
        <w:t xml:space="preserve"> (16.</w:t>
      </w:r>
      <w:r>
        <w:rPr>
          <w:rFonts w:hint="cs"/>
          <w:shd w:val="clear" w:color="auto" w:fill="FFFFFF"/>
          <w:rtl/>
        </w:rPr>
        <w:t>7</w:t>
      </w:r>
      <w:r w:rsidRPr="00EB2934">
        <w:rPr>
          <w:shd w:val="clear" w:color="auto" w:fill="FFFFFF"/>
          <w:rtl/>
        </w:rPr>
        <w:t>.2023)</w:t>
      </w:r>
      <w:r>
        <w:rPr>
          <w:rFonts w:hint="cs"/>
          <w:shd w:val="clear" w:color="auto" w:fill="FFFFFF"/>
          <w:rtl/>
        </w:rPr>
        <w:t xml:space="preserve">; </w:t>
      </w:r>
      <w:r w:rsidRPr="00EE739A">
        <w:rPr>
          <w:rFonts w:hint="eastAsia"/>
          <w:shd w:val="clear" w:color="auto" w:fill="FFFFFF"/>
          <w:rtl/>
        </w:rPr>
        <w:t>וראו</w:t>
      </w:r>
      <w:r w:rsidRPr="00EE739A">
        <w:rPr>
          <w:shd w:val="clear" w:color="auto" w:fill="FFFFFF"/>
          <w:rtl/>
        </w:rPr>
        <w:t xml:space="preserve"> </w:t>
      </w:r>
      <w:r w:rsidRPr="00EE739A">
        <w:rPr>
          <w:rFonts w:hint="eastAsia"/>
          <w:shd w:val="clear" w:color="auto" w:fill="FFFFFF"/>
          <w:rtl/>
        </w:rPr>
        <w:t>גם</w:t>
      </w:r>
      <w:r w:rsidRPr="00EE739A">
        <w:rPr>
          <w:shd w:val="clear" w:color="auto" w:fill="FFFFFF"/>
          <w:rtl/>
        </w:rPr>
        <w:t xml:space="preserve">: </w:t>
      </w:r>
      <w:r w:rsidRPr="00EE739A">
        <w:rPr>
          <w:rFonts w:hint="eastAsia"/>
          <w:shd w:val="clear" w:color="auto" w:fill="FFFFFF"/>
          <w:rtl/>
        </w:rPr>
        <w:t>יוסף</w:t>
      </w:r>
      <w:r w:rsidRPr="00EE739A">
        <w:rPr>
          <w:shd w:val="clear" w:color="auto" w:fill="FFFFFF"/>
          <w:rtl/>
        </w:rPr>
        <w:t xml:space="preserve"> </w:t>
      </w:r>
      <w:r w:rsidRPr="00EE739A">
        <w:rPr>
          <w:rFonts w:hint="eastAsia"/>
          <w:shd w:val="clear" w:color="auto" w:fill="FFFFFF"/>
          <w:rtl/>
        </w:rPr>
        <w:t>אלרון</w:t>
      </w:r>
      <w:r w:rsidRPr="00EE739A">
        <w:rPr>
          <w:shd w:val="clear" w:color="auto" w:fill="FFFFFF"/>
          <w:rtl/>
        </w:rPr>
        <w:t xml:space="preserve"> "</w:t>
      </w:r>
      <w:r w:rsidRPr="00EE739A">
        <w:rPr>
          <w:rFonts w:hint="eastAsia"/>
          <w:shd w:val="clear" w:color="auto" w:fill="FFFFFF"/>
          <w:rtl/>
        </w:rPr>
        <w:t>על</w:t>
      </w:r>
      <w:r w:rsidRPr="00EE739A">
        <w:rPr>
          <w:shd w:val="clear" w:color="auto" w:fill="FFFFFF"/>
          <w:rtl/>
        </w:rPr>
        <w:t xml:space="preserve"> </w:t>
      </w:r>
      <w:r w:rsidRPr="00EE739A">
        <w:rPr>
          <w:rFonts w:hint="eastAsia"/>
          <w:shd w:val="clear" w:color="auto" w:fill="FFFFFF"/>
          <w:rtl/>
        </w:rPr>
        <w:t>אבני</w:t>
      </w:r>
      <w:r>
        <w:rPr>
          <w:rFonts w:hint="cs"/>
          <w:shd w:val="clear" w:color="auto" w:fill="FFFFFF"/>
          <w:rtl/>
        </w:rPr>
        <w:t xml:space="preserve"> </w:t>
      </w:r>
      <w:r w:rsidRPr="00EE739A">
        <w:rPr>
          <w:rFonts w:hint="eastAsia"/>
          <w:shd w:val="clear" w:color="auto" w:fill="FFFFFF"/>
          <w:rtl/>
        </w:rPr>
        <w:t>הדרך</w:t>
      </w:r>
      <w:r w:rsidRPr="00EE739A">
        <w:rPr>
          <w:shd w:val="clear" w:color="auto" w:fill="FFFFFF"/>
          <w:rtl/>
        </w:rPr>
        <w:t xml:space="preserve"> </w:t>
      </w:r>
      <w:r w:rsidRPr="00EE739A">
        <w:rPr>
          <w:rFonts w:hint="eastAsia"/>
          <w:shd w:val="clear" w:color="auto" w:fill="FFFFFF"/>
          <w:rtl/>
        </w:rPr>
        <w:t>בעיצוב</w:t>
      </w:r>
      <w:r w:rsidRPr="00EE739A">
        <w:rPr>
          <w:shd w:val="clear" w:color="auto" w:fill="FFFFFF"/>
          <w:rtl/>
        </w:rPr>
        <w:t xml:space="preserve"> </w:t>
      </w:r>
      <w:r w:rsidRPr="00EE739A">
        <w:rPr>
          <w:rFonts w:hint="eastAsia"/>
          <w:shd w:val="clear" w:color="auto" w:fill="FFFFFF"/>
          <w:rtl/>
        </w:rPr>
        <w:t>מדיניות</w:t>
      </w:r>
      <w:r w:rsidRPr="00EE739A">
        <w:rPr>
          <w:shd w:val="clear" w:color="auto" w:fill="FFFFFF"/>
          <w:rtl/>
        </w:rPr>
        <w:t xml:space="preserve"> </w:t>
      </w:r>
      <w:r w:rsidRPr="00EE739A">
        <w:rPr>
          <w:rFonts w:hint="eastAsia"/>
          <w:shd w:val="clear" w:color="auto" w:fill="FFFFFF"/>
          <w:rtl/>
        </w:rPr>
        <w:t>הענישה</w:t>
      </w:r>
      <w:r w:rsidRPr="00EE739A">
        <w:rPr>
          <w:shd w:val="clear" w:color="auto" w:fill="FFFFFF"/>
          <w:rtl/>
        </w:rPr>
        <w:t xml:space="preserve"> </w:t>
      </w:r>
      <w:r w:rsidRPr="00EE739A">
        <w:rPr>
          <w:rFonts w:hint="eastAsia"/>
          <w:shd w:val="clear" w:color="auto" w:fill="FFFFFF"/>
          <w:rtl/>
        </w:rPr>
        <w:t>בעבירת</w:t>
      </w:r>
      <w:r w:rsidRPr="00EE739A">
        <w:rPr>
          <w:shd w:val="clear" w:color="auto" w:fill="FFFFFF"/>
          <w:rtl/>
        </w:rPr>
        <w:t xml:space="preserve"> </w:t>
      </w:r>
      <w:r w:rsidRPr="00EE739A">
        <w:rPr>
          <w:rFonts w:hint="eastAsia"/>
          <w:shd w:val="clear" w:color="auto" w:fill="FFFFFF"/>
          <w:rtl/>
        </w:rPr>
        <w:t>הרצח</w:t>
      </w:r>
      <w:r w:rsidRPr="00EE739A">
        <w:rPr>
          <w:shd w:val="clear" w:color="auto" w:fill="FFFFFF"/>
          <w:rtl/>
        </w:rPr>
        <w:t xml:space="preserve"> </w:t>
      </w:r>
      <w:r w:rsidRPr="00EE739A">
        <w:rPr>
          <w:rFonts w:hint="eastAsia"/>
          <w:shd w:val="clear" w:color="auto" w:fill="FFFFFF"/>
          <w:rtl/>
        </w:rPr>
        <w:t>הבסיסית</w:t>
      </w:r>
      <w:r w:rsidRPr="00EE739A">
        <w:rPr>
          <w:shd w:val="clear" w:color="auto" w:fill="FFFFFF"/>
          <w:rtl/>
        </w:rPr>
        <w:t xml:space="preserve">" </w:t>
      </w:r>
      <w:r w:rsidRPr="0042529D">
        <w:rPr>
          <w:rFonts w:ascii="Century" w:hAnsi="Century" w:cs="Miriam" w:hint="eastAsia"/>
          <w:b/>
          <w:spacing w:val="0"/>
          <w:sz w:val="22"/>
          <w:szCs w:val="24"/>
          <w:shd w:val="clear" w:color="auto" w:fill="FFFFFF"/>
          <w:rtl/>
        </w:rPr>
        <w:t>ספר</w:t>
      </w:r>
      <w:r w:rsidRPr="0042529D">
        <w:rPr>
          <w:rFonts w:ascii="Century" w:hAnsi="Century" w:cs="Miriam"/>
          <w:b/>
          <w:spacing w:val="0"/>
          <w:sz w:val="22"/>
          <w:szCs w:val="24"/>
          <w:shd w:val="clear" w:color="auto" w:fill="FFFFFF"/>
          <w:rtl/>
        </w:rPr>
        <w:t xml:space="preserve"> </w:t>
      </w:r>
      <w:r w:rsidRPr="0042529D">
        <w:rPr>
          <w:rFonts w:ascii="Century" w:hAnsi="Century" w:cs="Miriam" w:hint="eastAsia"/>
          <w:b/>
          <w:spacing w:val="0"/>
          <w:sz w:val="22"/>
          <w:szCs w:val="24"/>
          <w:shd w:val="clear" w:color="auto" w:fill="FFFFFF"/>
          <w:rtl/>
        </w:rPr>
        <w:t>לכבודו</w:t>
      </w:r>
      <w:r w:rsidRPr="0042529D">
        <w:rPr>
          <w:rFonts w:ascii="Century" w:hAnsi="Century" w:cs="Miriam"/>
          <w:b/>
          <w:spacing w:val="0"/>
          <w:sz w:val="22"/>
          <w:szCs w:val="24"/>
          <w:shd w:val="clear" w:color="auto" w:fill="FFFFFF"/>
          <w:rtl/>
        </w:rPr>
        <w:t xml:space="preserve"> </w:t>
      </w:r>
      <w:r w:rsidRPr="0042529D">
        <w:rPr>
          <w:rFonts w:ascii="Century" w:hAnsi="Century" w:cs="Miriam" w:hint="eastAsia"/>
          <w:b/>
          <w:spacing w:val="0"/>
          <w:sz w:val="22"/>
          <w:szCs w:val="24"/>
          <w:shd w:val="clear" w:color="auto" w:fill="FFFFFF"/>
          <w:rtl/>
        </w:rPr>
        <w:t>של</w:t>
      </w:r>
      <w:r w:rsidRPr="0042529D">
        <w:rPr>
          <w:rFonts w:ascii="Century" w:hAnsi="Century" w:cs="Miriam"/>
          <w:b/>
          <w:spacing w:val="0"/>
          <w:sz w:val="22"/>
          <w:szCs w:val="24"/>
          <w:shd w:val="clear" w:color="auto" w:fill="FFFFFF"/>
          <w:rtl/>
        </w:rPr>
        <w:t xml:space="preserve"> </w:t>
      </w:r>
      <w:r w:rsidRPr="0042529D">
        <w:rPr>
          <w:rFonts w:ascii="Century" w:hAnsi="Century" w:cs="Miriam" w:hint="eastAsia"/>
          <w:b/>
          <w:spacing w:val="0"/>
          <w:sz w:val="22"/>
          <w:szCs w:val="24"/>
          <w:shd w:val="clear" w:color="auto" w:fill="FFFFFF"/>
          <w:rtl/>
        </w:rPr>
        <w:t>השופט</w:t>
      </w:r>
      <w:r w:rsidRPr="0042529D">
        <w:rPr>
          <w:rFonts w:ascii="Century" w:hAnsi="Century" w:cs="Miriam"/>
          <w:b/>
          <w:spacing w:val="0"/>
          <w:sz w:val="22"/>
          <w:szCs w:val="24"/>
          <w:shd w:val="clear" w:color="auto" w:fill="FFFFFF"/>
          <w:rtl/>
        </w:rPr>
        <w:t xml:space="preserve"> </w:t>
      </w:r>
      <w:r w:rsidRPr="0042529D">
        <w:rPr>
          <w:rFonts w:ascii="Century" w:hAnsi="Century" w:cs="Miriam" w:hint="eastAsia"/>
          <w:b/>
          <w:spacing w:val="0"/>
          <w:sz w:val="22"/>
          <w:szCs w:val="24"/>
          <w:shd w:val="clear" w:color="auto" w:fill="FFFFFF"/>
          <w:rtl/>
        </w:rPr>
        <w:t>ניל</w:t>
      </w:r>
      <w:r w:rsidRPr="0042529D">
        <w:rPr>
          <w:rFonts w:ascii="Century" w:hAnsi="Century" w:cs="Miriam"/>
          <w:b/>
          <w:spacing w:val="0"/>
          <w:sz w:val="22"/>
          <w:szCs w:val="24"/>
          <w:shd w:val="clear" w:color="auto" w:fill="FFFFFF"/>
          <w:rtl/>
        </w:rPr>
        <w:t xml:space="preserve"> </w:t>
      </w:r>
      <w:r w:rsidRPr="0042529D">
        <w:rPr>
          <w:rFonts w:ascii="Century" w:hAnsi="Century" w:cs="Miriam" w:hint="eastAsia"/>
          <w:b/>
          <w:spacing w:val="0"/>
          <w:sz w:val="22"/>
          <w:szCs w:val="24"/>
          <w:shd w:val="clear" w:color="auto" w:fill="FFFFFF"/>
          <w:rtl/>
        </w:rPr>
        <w:t>הנדל</w:t>
      </w:r>
      <w:r w:rsidRPr="0042529D">
        <w:rPr>
          <w:shd w:val="clear" w:color="auto" w:fill="FFFFFF"/>
          <w:rtl/>
        </w:rPr>
        <w:t xml:space="preserve"> </w:t>
      </w:r>
      <w:r w:rsidRPr="00EE739A">
        <w:rPr>
          <w:shd w:val="clear" w:color="auto" w:fill="FFFFFF"/>
          <w:rtl/>
        </w:rPr>
        <w:t>(</w:t>
      </w:r>
      <w:r w:rsidRPr="00EE739A">
        <w:rPr>
          <w:rFonts w:hint="eastAsia"/>
          <w:shd w:val="clear" w:color="auto" w:fill="FFFFFF"/>
          <w:rtl/>
        </w:rPr>
        <w:t>טרם</w:t>
      </w:r>
      <w:r w:rsidRPr="00EE739A">
        <w:rPr>
          <w:shd w:val="clear" w:color="auto" w:fill="FFFFFF"/>
          <w:rtl/>
        </w:rPr>
        <w:t xml:space="preserve"> </w:t>
      </w:r>
      <w:r w:rsidRPr="00EE739A">
        <w:rPr>
          <w:rFonts w:hint="eastAsia"/>
          <w:shd w:val="clear" w:color="auto" w:fill="FFFFFF"/>
          <w:rtl/>
        </w:rPr>
        <w:t>פורסם</w:t>
      </w:r>
      <w:r w:rsidRPr="00EE739A">
        <w:rPr>
          <w:shd w:val="clear" w:color="auto" w:fill="FFFFFF"/>
          <w:rtl/>
        </w:rPr>
        <w:t>)</w:t>
      </w:r>
      <w:r w:rsidRPr="00EE739A">
        <w:rPr>
          <w:rFonts w:hint="cs"/>
          <w:shd w:val="clear" w:color="auto" w:fill="FFFFFF"/>
          <w:rtl/>
        </w:rPr>
        <w:t xml:space="preserve">). </w:t>
      </w:r>
      <w:r>
        <w:rPr>
          <w:rFonts w:hint="cs"/>
          <w:rtl/>
        </w:rPr>
        <w:t>כפי שציינתי בעבר "</w:t>
      </w:r>
      <w:r>
        <w:rPr>
          <w:rFonts w:ascii="FrankRuehl" w:hAnsi="FrankRuehl"/>
          <w:color w:val="000000"/>
          <w:sz w:val="28"/>
          <w:rtl/>
        </w:rPr>
        <w:t>דומה כי מהפסיקה שהתגבשה עד כה, ניתן להתרשם שעל פי רוב, ומבלי לקבוע מסמרות, העונש בגין רצח בכוונה יהא בין 25 שנות מאסר בפועל לעונש של מאסר עולם</w:t>
      </w:r>
      <w:r>
        <w:rPr>
          <w:rFonts w:ascii="FrankRuehl" w:hAnsi="FrankRuehl" w:hint="cs"/>
          <w:color w:val="000000"/>
          <w:sz w:val="28"/>
          <w:rtl/>
        </w:rPr>
        <w:t>"</w:t>
      </w:r>
      <w:r>
        <w:rPr>
          <w:rFonts w:hint="cs"/>
          <w:rtl/>
        </w:rPr>
        <w:t xml:space="preserve"> (</w:t>
      </w:r>
      <w:r w:rsidRPr="00343ECE">
        <w:rPr>
          <w:rFonts w:hint="eastAsia"/>
          <w:rtl/>
        </w:rPr>
        <w:t>ע</w:t>
      </w:r>
      <w:r w:rsidRPr="00343ECE">
        <w:rPr>
          <w:rtl/>
        </w:rPr>
        <w:t>"</w:t>
      </w:r>
      <w:r w:rsidRPr="00343ECE">
        <w:rPr>
          <w:rFonts w:hint="eastAsia"/>
          <w:rtl/>
        </w:rPr>
        <w:t>פ</w:t>
      </w:r>
      <w:r w:rsidRPr="00343ECE">
        <w:rPr>
          <w:rtl/>
        </w:rPr>
        <w:t xml:space="preserve"> 6063/21 </w:t>
      </w:r>
      <w:r w:rsidRPr="00343ECE">
        <w:rPr>
          <w:rFonts w:ascii="Century" w:hAnsi="Century" w:cs="Miriam" w:hint="eastAsia"/>
          <w:b/>
          <w:spacing w:val="0"/>
          <w:szCs w:val="24"/>
          <w:rtl/>
        </w:rPr>
        <w:t>מדינת</w:t>
      </w:r>
      <w:r w:rsidRPr="00343ECE">
        <w:rPr>
          <w:rFonts w:ascii="Century" w:hAnsi="Century" w:cs="Miriam"/>
          <w:b/>
          <w:spacing w:val="0"/>
          <w:szCs w:val="24"/>
          <w:rtl/>
        </w:rPr>
        <w:t xml:space="preserve"> </w:t>
      </w:r>
      <w:r w:rsidRPr="00343ECE">
        <w:rPr>
          <w:rFonts w:ascii="Century" w:hAnsi="Century" w:cs="Miriam" w:hint="eastAsia"/>
          <w:b/>
          <w:spacing w:val="0"/>
          <w:szCs w:val="24"/>
          <w:rtl/>
        </w:rPr>
        <w:t>ישראל</w:t>
      </w:r>
      <w:r w:rsidRPr="00343ECE">
        <w:rPr>
          <w:rFonts w:ascii="Century" w:hAnsi="Century" w:cs="Miriam"/>
          <w:b/>
          <w:spacing w:val="0"/>
          <w:szCs w:val="24"/>
          <w:rtl/>
        </w:rPr>
        <w:t xml:space="preserve"> </w:t>
      </w:r>
      <w:r w:rsidRPr="00343ECE">
        <w:rPr>
          <w:rFonts w:ascii="Century" w:hAnsi="Century" w:cs="Miriam" w:hint="eastAsia"/>
          <w:b/>
          <w:spacing w:val="0"/>
          <w:szCs w:val="24"/>
          <w:rtl/>
        </w:rPr>
        <w:t>נ</w:t>
      </w:r>
      <w:r w:rsidRPr="00343ECE">
        <w:rPr>
          <w:rFonts w:ascii="Century" w:hAnsi="Century" w:cs="Miriam"/>
          <w:b/>
          <w:spacing w:val="0"/>
          <w:szCs w:val="24"/>
          <w:rtl/>
        </w:rPr>
        <w:t xml:space="preserve">' </w:t>
      </w:r>
      <w:r w:rsidRPr="00343ECE">
        <w:rPr>
          <w:rFonts w:ascii="Century" w:hAnsi="Century" w:cs="Miriam" w:hint="eastAsia"/>
          <w:b/>
          <w:spacing w:val="0"/>
          <w:szCs w:val="24"/>
          <w:rtl/>
        </w:rPr>
        <w:t>יאסין</w:t>
      </w:r>
      <w:r>
        <w:rPr>
          <w:rFonts w:hint="cs"/>
          <w:rtl/>
        </w:rPr>
        <w:t>, פסקה 63</w:t>
      </w:r>
      <w:r w:rsidRPr="00343ECE">
        <w:rPr>
          <w:rtl/>
        </w:rPr>
        <w:t xml:space="preserve"> (26.</w:t>
      </w:r>
      <w:r>
        <w:rPr>
          <w:rFonts w:hint="cs"/>
          <w:rtl/>
        </w:rPr>
        <w:t>3</w:t>
      </w:r>
      <w:r w:rsidRPr="00343ECE">
        <w:rPr>
          <w:rtl/>
        </w:rPr>
        <w:t>.2024)</w:t>
      </w:r>
      <w:r>
        <w:rPr>
          <w:rFonts w:hint="cs"/>
          <w:rtl/>
        </w:rPr>
        <w:t xml:space="preserve">; ולעניין עיצוב מתחם העונש ההולם, ראו, מני רבים: </w:t>
      </w:r>
      <w:r w:rsidRPr="009C2294">
        <w:rPr>
          <w:rFonts w:hint="eastAsia"/>
          <w:rtl/>
        </w:rPr>
        <w:t>ע</w:t>
      </w:r>
      <w:r w:rsidRPr="009C2294">
        <w:rPr>
          <w:rtl/>
        </w:rPr>
        <w:t>"</w:t>
      </w:r>
      <w:r w:rsidRPr="009C2294">
        <w:rPr>
          <w:rFonts w:hint="eastAsia"/>
          <w:rtl/>
        </w:rPr>
        <w:t>פ</w:t>
      </w:r>
      <w:r w:rsidRPr="009C2294">
        <w:rPr>
          <w:rtl/>
        </w:rPr>
        <w:t xml:space="preserve"> 1077/22 </w:t>
      </w:r>
      <w:r w:rsidRPr="009C2294">
        <w:rPr>
          <w:rFonts w:ascii="Century" w:hAnsi="Century" w:cs="Miriam" w:hint="eastAsia"/>
          <w:b/>
          <w:spacing w:val="0"/>
          <w:szCs w:val="24"/>
          <w:rtl/>
        </w:rPr>
        <w:t>קאדר</w:t>
      </w:r>
      <w:r w:rsidRPr="009C2294">
        <w:rPr>
          <w:rFonts w:ascii="Century" w:hAnsi="Century" w:cs="Miriam"/>
          <w:b/>
          <w:spacing w:val="0"/>
          <w:szCs w:val="24"/>
          <w:rtl/>
        </w:rPr>
        <w:t xml:space="preserve"> </w:t>
      </w:r>
      <w:r w:rsidRPr="009C2294">
        <w:rPr>
          <w:rFonts w:ascii="Century" w:hAnsi="Century" w:cs="Miriam" w:hint="eastAsia"/>
          <w:b/>
          <w:spacing w:val="0"/>
          <w:szCs w:val="24"/>
          <w:rtl/>
        </w:rPr>
        <w:t>נ</w:t>
      </w:r>
      <w:r w:rsidRPr="009C2294">
        <w:rPr>
          <w:rFonts w:ascii="Century" w:hAnsi="Century" w:cs="Miriam"/>
          <w:b/>
          <w:spacing w:val="0"/>
          <w:szCs w:val="24"/>
          <w:rtl/>
        </w:rPr>
        <w:t xml:space="preserve">' </w:t>
      </w:r>
      <w:r w:rsidRPr="009C2294">
        <w:rPr>
          <w:rFonts w:ascii="Century" w:hAnsi="Century" w:cs="Miriam" w:hint="eastAsia"/>
          <w:b/>
          <w:spacing w:val="0"/>
          <w:szCs w:val="24"/>
          <w:rtl/>
        </w:rPr>
        <w:t>מדינת</w:t>
      </w:r>
      <w:r w:rsidRPr="009C2294">
        <w:rPr>
          <w:rFonts w:ascii="Century" w:hAnsi="Century" w:cs="Miriam"/>
          <w:b/>
          <w:spacing w:val="0"/>
          <w:szCs w:val="24"/>
          <w:rtl/>
        </w:rPr>
        <w:t xml:space="preserve"> </w:t>
      </w:r>
      <w:r w:rsidRPr="009C2294">
        <w:rPr>
          <w:rFonts w:ascii="Century" w:hAnsi="Century" w:cs="Miriam" w:hint="eastAsia"/>
          <w:b/>
          <w:spacing w:val="0"/>
          <w:szCs w:val="24"/>
          <w:rtl/>
        </w:rPr>
        <w:t>ישראל</w:t>
      </w:r>
      <w:r>
        <w:rPr>
          <w:rFonts w:hint="cs"/>
          <w:rtl/>
        </w:rPr>
        <w:t xml:space="preserve"> </w:t>
      </w:r>
      <w:r w:rsidRPr="009C2294">
        <w:rPr>
          <w:rtl/>
        </w:rPr>
        <w:t>(</w:t>
      </w:r>
      <w:r>
        <w:rPr>
          <w:rFonts w:hint="cs"/>
          <w:rtl/>
        </w:rPr>
        <w:t>1</w:t>
      </w:r>
      <w:r w:rsidRPr="009C2294">
        <w:rPr>
          <w:rtl/>
        </w:rPr>
        <w:t>.</w:t>
      </w:r>
      <w:r>
        <w:rPr>
          <w:rFonts w:hint="cs"/>
          <w:rtl/>
        </w:rPr>
        <w:t>6</w:t>
      </w:r>
      <w:r w:rsidRPr="009C2294">
        <w:rPr>
          <w:rtl/>
        </w:rPr>
        <w:t>.2022)</w:t>
      </w:r>
      <w:r>
        <w:rPr>
          <w:rFonts w:hint="cs"/>
          <w:rtl/>
        </w:rPr>
        <w:t xml:space="preserve"> (להלן: עניין </w:t>
      </w:r>
      <w:r>
        <w:rPr>
          <w:rFonts w:ascii="Century" w:hAnsi="Century" w:cs="Miriam" w:hint="cs"/>
          <w:b/>
          <w:spacing w:val="0"/>
          <w:szCs w:val="24"/>
          <w:rtl/>
        </w:rPr>
        <w:t>קא</w:t>
      </w:r>
      <w:r w:rsidRPr="00266054">
        <w:rPr>
          <w:rFonts w:ascii="Century" w:hAnsi="Century" w:cs="Miriam" w:hint="cs"/>
          <w:b/>
          <w:spacing w:val="0"/>
          <w:szCs w:val="24"/>
          <w:rtl/>
        </w:rPr>
        <w:t>דר</w:t>
      </w:r>
      <w:r>
        <w:rPr>
          <w:rFonts w:hint="cs"/>
          <w:rtl/>
        </w:rPr>
        <w:t xml:space="preserve">); </w:t>
      </w:r>
      <w:r w:rsidRPr="000B135F">
        <w:rPr>
          <w:rFonts w:hint="eastAsia"/>
          <w:rtl/>
        </w:rPr>
        <w:t>ע</w:t>
      </w:r>
      <w:r w:rsidRPr="000B135F">
        <w:rPr>
          <w:rtl/>
        </w:rPr>
        <w:t>"</w:t>
      </w:r>
      <w:r w:rsidRPr="000B135F">
        <w:rPr>
          <w:rFonts w:hint="eastAsia"/>
          <w:rtl/>
        </w:rPr>
        <w:t>פ</w:t>
      </w:r>
      <w:r w:rsidRPr="000B135F">
        <w:rPr>
          <w:rtl/>
        </w:rPr>
        <w:t xml:space="preserve"> 1213/21</w:t>
      </w:r>
      <w:r>
        <w:rPr>
          <w:rFonts w:ascii="Century" w:hAnsi="Century" w:cs="Miriam" w:hint="cs"/>
          <w:b/>
          <w:spacing w:val="0"/>
          <w:szCs w:val="24"/>
          <w:rtl/>
        </w:rPr>
        <w:t xml:space="preserve"> </w:t>
      </w:r>
      <w:proofErr w:type="spellStart"/>
      <w:r w:rsidRPr="000B135F">
        <w:rPr>
          <w:rFonts w:ascii="Century" w:hAnsi="Century" w:cs="Miriam" w:hint="eastAsia"/>
          <w:b/>
          <w:spacing w:val="0"/>
          <w:szCs w:val="24"/>
          <w:rtl/>
        </w:rPr>
        <w:t>וואסה</w:t>
      </w:r>
      <w:proofErr w:type="spellEnd"/>
      <w:r w:rsidRPr="000B135F">
        <w:rPr>
          <w:rFonts w:ascii="Century" w:hAnsi="Century" w:cs="Miriam"/>
          <w:b/>
          <w:spacing w:val="0"/>
          <w:szCs w:val="24"/>
          <w:rtl/>
        </w:rPr>
        <w:t xml:space="preserve"> </w:t>
      </w:r>
      <w:r w:rsidRPr="000B135F">
        <w:rPr>
          <w:rFonts w:ascii="Century" w:hAnsi="Century" w:cs="Miriam" w:hint="eastAsia"/>
          <w:b/>
          <w:spacing w:val="0"/>
          <w:szCs w:val="24"/>
          <w:rtl/>
        </w:rPr>
        <w:t>נ</w:t>
      </w:r>
      <w:r w:rsidRPr="000B135F">
        <w:rPr>
          <w:rFonts w:ascii="Century" w:hAnsi="Century" w:cs="Miriam"/>
          <w:b/>
          <w:spacing w:val="0"/>
          <w:szCs w:val="24"/>
          <w:rtl/>
        </w:rPr>
        <w:t xml:space="preserve">' </w:t>
      </w:r>
      <w:r w:rsidRPr="000B135F">
        <w:rPr>
          <w:rFonts w:ascii="Century" w:hAnsi="Century" w:cs="Miriam" w:hint="eastAsia"/>
          <w:b/>
          <w:spacing w:val="0"/>
          <w:szCs w:val="24"/>
          <w:rtl/>
        </w:rPr>
        <w:t>מדינת</w:t>
      </w:r>
      <w:r w:rsidRPr="000B135F">
        <w:rPr>
          <w:rFonts w:ascii="Century" w:hAnsi="Century" w:cs="Miriam"/>
          <w:b/>
          <w:spacing w:val="0"/>
          <w:szCs w:val="24"/>
          <w:rtl/>
        </w:rPr>
        <w:t xml:space="preserve"> </w:t>
      </w:r>
      <w:r w:rsidRPr="000B135F">
        <w:rPr>
          <w:rFonts w:ascii="Century" w:hAnsi="Century" w:cs="Miriam" w:hint="eastAsia"/>
          <w:b/>
          <w:spacing w:val="0"/>
          <w:szCs w:val="24"/>
          <w:rtl/>
        </w:rPr>
        <w:t>ישראל</w:t>
      </w:r>
      <w:r w:rsidRPr="000B135F">
        <w:rPr>
          <w:rtl/>
        </w:rPr>
        <w:t xml:space="preserve"> (11.</w:t>
      </w:r>
      <w:r>
        <w:rPr>
          <w:rFonts w:hint="cs"/>
          <w:rtl/>
        </w:rPr>
        <w:t>8</w:t>
      </w:r>
      <w:r w:rsidRPr="000B135F">
        <w:rPr>
          <w:rtl/>
        </w:rPr>
        <w:t>.2022)</w:t>
      </w:r>
      <w:r>
        <w:rPr>
          <w:rFonts w:hint="cs"/>
          <w:rtl/>
        </w:rPr>
        <w:t xml:space="preserve">; </w:t>
      </w:r>
      <w:r w:rsidRPr="000B135F">
        <w:rPr>
          <w:rFonts w:hint="eastAsia"/>
          <w:rtl/>
        </w:rPr>
        <w:t>ע</w:t>
      </w:r>
      <w:r w:rsidRPr="000B135F">
        <w:rPr>
          <w:rtl/>
        </w:rPr>
        <w:t>"</w:t>
      </w:r>
      <w:r w:rsidRPr="000B135F">
        <w:rPr>
          <w:rFonts w:hint="eastAsia"/>
          <w:rtl/>
        </w:rPr>
        <w:t>פ</w:t>
      </w:r>
      <w:r w:rsidRPr="000B135F">
        <w:rPr>
          <w:rtl/>
        </w:rPr>
        <w:t xml:space="preserve"> 1978/21 </w:t>
      </w:r>
      <w:r w:rsidRPr="000B135F">
        <w:rPr>
          <w:rFonts w:ascii="Century" w:hAnsi="Century" w:cs="Miriam" w:hint="eastAsia"/>
          <w:b/>
          <w:spacing w:val="0"/>
          <w:szCs w:val="24"/>
          <w:rtl/>
        </w:rPr>
        <w:t>מדינת</w:t>
      </w:r>
      <w:r w:rsidRPr="000B135F">
        <w:rPr>
          <w:rFonts w:ascii="Century" w:hAnsi="Century" w:cs="Miriam"/>
          <w:b/>
          <w:spacing w:val="0"/>
          <w:szCs w:val="24"/>
          <w:rtl/>
        </w:rPr>
        <w:t xml:space="preserve"> </w:t>
      </w:r>
      <w:r w:rsidRPr="000B135F">
        <w:rPr>
          <w:rFonts w:ascii="Century" w:hAnsi="Century" w:cs="Miriam" w:hint="eastAsia"/>
          <w:b/>
          <w:spacing w:val="0"/>
          <w:szCs w:val="24"/>
          <w:rtl/>
        </w:rPr>
        <w:t>ישראל</w:t>
      </w:r>
      <w:r w:rsidRPr="000B135F">
        <w:rPr>
          <w:rFonts w:ascii="Century" w:hAnsi="Century" w:cs="Miriam"/>
          <w:b/>
          <w:spacing w:val="0"/>
          <w:szCs w:val="24"/>
          <w:rtl/>
        </w:rPr>
        <w:t xml:space="preserve"> </w:t>
      </w:r>
      <w:r w:rsidRPr="000B135F">
        <w:rPr>
          <w:rFonts w:ascii="Century" w:hAnsi="Century" w:cs="Miriam" w:hint="eastAsia"/>
          <w:b/>
          <w:spacing w:val="0"/>
          <w:szCs w:val="24"/>
          <w:rtl/>
        </w:rPr>
        <w:t>נ</w:t>
      </w:r>
      <w:r w:rsidRPr="000B135F">
        <w:rPr>
          <w:rFonts w:ascii="Century" w:hAnsi="Century" w:cs="Miriam"/>
          <w:b/>
          <w:spacing w:val="0"/>
          <w:szCs w:val="24"/>
          <w:rtl/>
        </w:rPr>
        <w:t xml:space="preserve">' </w:t>
      </w:r>
      <w:proofErr w:type="spellStart"/>
      <w:r w:rsidRPr="000B135F">
        <w:rPr>
          <w:rFonts w:ascii="Century" w:hAnsi="Century" w:cs="Miriam" w:hint="eastAsia"/>
          <w:b/>
          <w:spacing w:val="0"/>
          <w:szCs w:val="24"/>
          <w:rtl/>
        </w:rPr>
        <w:t>עמאש</w:t>
      </w:r>
      <w:proofErr w:type="spellEnd"/>
      <w:r w:rsidRPr="000B135F">
        <w:rPr>
          <w:rtl/>
        </w:rPr>
        <w:t xml:space="preserve"> (</w:t>
      </w:r>
      <w:r>
        <w:rPr>
          <w:rFonts w:hint="cs"/>
          <w:rtl/>
        </w:rPr>
        <w:t>7.6</w:t>
      </w:r>
      <w:r w:rsidRPr="000B135F">
        <w:rPr>
          <w:rtl/>
        </w:rPr>
        <w:t>.2023)</w:t>
      </w:r>
      <w:r>
        <w:rPr>
          <w:rFonts w:hint="cs"/>
          <w:rtl/>
        </w:rPr>
        <w:t xml:space="preserve">; </w:t>
      </w:r>
      <w:r w:rsidRPr="00D52FD5">
        <w:rPr>
          <w:rFonts w:hint="eastAsia"/>
          <w:rtl/>
        </w:rPr>
        <w:t>ע</w:t>
      </w:r>
      <w:r w:rsidRPr="00D52FD5">
        <w:rPr>
          <w:rtl/>
        </w:rPr>
        <w:t>"</w:t>
      </w:r>
      <w:r w:rsidRPr="00D52FD5">
        <w:rPr>
          <w:rFonts w:hint="eastAsia"/>
          <w:rtl/>
        </w:rPr>
        <w:t>פ</w:t>
      </w:r>
      <w:r w:rsidRPr="00D52FD5">
        <w:rPr>
          <w:rtl/>
        </w:rPr>
        <w:t xml:space="preserve"> 4019/23 </w:t>
      </w:r>
      <w:r w:rsidRPr="00D52FD5">
        <w:rPr>
          <w:rFonts w:ascii="Century" w:hAnsi="Century" w:cs="Miriam" w:hint="eastAsia"/>
          <w:b/>
          <w:spacing w:val="0"/>
          <w:szCs w:val="24"/>
          <w:rtl/>
        </w:rPr>
        <w:t>אבו</w:t>
      </w:r>
      <w:r w:rsidRPr="00D52FD5">
        <w:rPr>
          <w:rFonts w:ascii="Century" w:hAnsi="Century" w:cs="Miriam"/>
          <w:b/>
          <w:spacing w:val="0"/>
          <w:szCs w:val="24"/>
          <w:rtl/>
        </w:rPr>
        <w:t xml:space="preserve"> </w:t>
      </w:r>
      <w:proofErr w:type="spellStart"/>
      <w:r w:rsidRPr="00D52FD5">
        <w:rPr>
          <w:rFonts w:ascii="Century" w:hAnsi="Century" w:cs="Miriam" w:hint="eastAsia"/>
          <w:b/>
          <w:spacing w:val="0"/>
          <w:szCs w:val="24"/>
          <w:rtl/>
        </w:rPr>
        <w:t>סרארי</w:t>
      </w:r>
      <w:proofErr w:type="spellEnd"/>
      <w:r w:rsidRPr="00D52FD5">
        <w:rPr>
          <w:rFonts w:ascii="Century" w:hAnsi="Century" w:cs="Miriam"/>
          <w:b/>
          <w:spacing w:val="0"/>
          <w:szCs w:val="24"/>
          <w:rtl/>
        </w:rPr>
        <w:t xml:space="preserve"> </w:t>
      </w:r>
      <w:r w:rsidRPr="00D52FD5">
        <w:rPr>
          <w:rFonts w:ascii="Century" w:hAnsi="Century" w:cs="Miriam" w:hint="eastAsia"/>
          <w:b/>
          <w:spacing w:val="0"/>
          <w:szCs w:val="24"/>
          <w:rtl/>
        </w:rPr>
        <w:t>נ</w:t>
      </w:r>
      <w:r w:rsidRPr="00D52FD5">
        <w:rPr>
          <w:rFonts w:ascii="Century" w:hAnsi="Century" w:cs="Miriam"/>
          <w:b/>
          <w:spacing w:val="0"/>
          <w:szCs w:val="24"/>
          <w:rtl/>
        </w:rPr>
        <w:t xml:space="preserve">' </w:t>
      </w:r>
      <w:r w:rsidRPr="00D52FD5">
        <w:rPr>
          <w:rFonts w:ascii="Century" w:hAnsi="Century" w:cs="Miriam" w:hint="eastAsia"/>
          <w:b/>
          <w:spacing w:val="0"/>
          <w:szCs w:val="24"/>
          <w:rtl/>
        </w:rPr>
        <w:t>מדינת</w:t>
      </w:r>
      <w:r w:rsidRPr="00D52FD5">
        <w:rPr>
          <w:rFonts w:ascii="Century" w:hAnsi="Century" w:cs="Miriam"/>
          <w:b/>
          <w:spacing w:val="0"/>
          <w:szCs w:val="24"/>
          <w:rtl/>
        </w:rPr>
        <w:t xml:space="preserve"> </w:t>
      </w:r>
      <w:r w:rsidRPr="00D52FD5">
        <w:rPr>
          <w:rFonts w:ascii="Century" w:hAnsi="Century" w:cs="Miriam" w:hint="eastAsia"/>
          <w:b/>
          <w:spacing w:val="0"/>
          <w:szCs w:val="24"/>
          <w:rtl/>
        </w:rPr>
        <w:t>ישראל</w:t>
      </w:r>
      <w:r w:rsidRPr="00D52FD5">
        <w:rPr>
          <w:rtl/>
        </w:rPr>
        <w:t xml:space="preserve"> (12.</w:t>
      </w:r>
      <w:r>
        <w:rPr>
          <w:rFonts w:hint="cs"/>
          <w:rtl/>
        </w:rPr>
        <w:t>5</w:t>
      </w:r>
      <w:r w:rsidRPr="00D52FD5">
        <w:rPr>
          <w:rtl/>
        </w:rPr>
        <w:t>.2024)</w:t>
      </w:r>
      <w:r>
        <w:rPr>
          <w:rFonts w:hint="cs"/>
          <w:rtl/>
        </w:rPr>
        <w:t xml:space="preserve">; </w:t>
      </w:r>
      <w:r w:rsidRPr="007339DF">
        <w:rPr>
          <w:rFonts w:hint="eastAsia"/>
          <w:rtl/>
        </w:rPr>
        <w:t>ע</w:t>
      </w:r>
      <w:r w:rsidRPr="007339DF">
        <w:rPr>
          <w:rtl/>
        </w:rPr>
        <w:t>"</w:t>
      </w:r>
      <w:r w:rsidRPr="007339DF">
        <w:rPr>
          <w:rFonts w:hint="eastAsia"/>
          <w:rtl/>
        </w:rPr>
        <w:t>פ</w:t>
      </w:r>
      <w:r w:rsidRPr="007339DF">
        <w:rPr>
          <w:rtl/>
        </w:rPr>
        <w:t xml:space="preserve"> 4149/23 </w:t>
      </w:r>
      <w:r w:rsidRPr="007339DF">
        <w:rPr>
          <w:rFonts w:ascii="Century" w:hAnsi="Century" w:cs="Miriam" w:hint="eastAsia"/>
          <w:b/>
          <w:spacing w:val="0"/>
          <w:szCs w:val="24"/>
          <w:rtl/>
        </w:rPr>
        <w:t>עומאר</w:t>
      </w:r>
      <w:r w:rsidRPr="007339DF">
        <w:rPr>
          <w:rFonts w:ascii="Century" w:hAnsi="Century" w:cs="Miriam"/>
          <w:b/>
          <w:spacing w:val="0"/>
          <w:szCs w:val="24"/>
          <w:rtl/>
        </w:rPr>
        <w:t xml:space="preserve"> </w:t>
      </w:r>
      <w:r w:rsidRPr="007339DF">
        <w:rPr>
          <w:rFonts w:ascii="Century" w:hAnsi="Century" w:cs="Miriam" w:hint="eastAsia"/>
          <w:b/>
          <w:spacing w:val="0"/>
          <w:szCs w:val="24"/>
          <w:rtl/>
        </w:rPr>
        <w:t>נ</w:t>
      </w:r>
      <w:r w:rsidRPr="007339DF">
        <w:rPr>
          <w:rFonts w:ascii="Century" w:hAnsi="Century" w:cs="Miriam"/>
          <w:b/>
          <w:spacing w:val="0"/>
          <w:szCs w:val="24"/>
          <w:rtl/>
        </w:rPr>
        <w:t xml:space="preserve">' </w:t>
      </w:r>
      <w:r w:rsidRPr="007339DF">
        <w:rPr>
          <w:rFonts w:ascii="Century" w:hAnsi="Century" w:cs="Miriam" w:hint="eastAsia"/>
          <w:b/>
          <w:spacing w:val="0"/>
          <w:szCs w:val="24"/>
          <w:rtl/>
        </w:rPr>
        <w:t>מדינת</w:t>
      </w:r>
      <w:r w:rsidRPr="007339DF">
        <w:rPr>
          <w:rFonts w:ascii="Century" w:hAnsi="Century" w:cs="Miriam"/>
          <w:b/>
          <w:spacing w:val="0"/>
          <w:szCs w:val="24"/>
          <w:rtl/>
        </w:rPr>
        <w:t xml:space="preserve"> </w:t>
      </w:r>
      <w:r w:rsidRPr="007339DF">
        <w:rPr>
          <w:rFonts w:ascii="Century" w:hAnsi="Century" w:cs="Miriam" w:hint="eastAsia"/>
          <w:b/>
          <w:spacing w:val="0"/>
          <w:szCs w:val="24"/>
          <w:rtl/>
        </w:rPr>
        <w:t>ישראל</w:t>
      </w:r>
      <w:r w:rsidRPr="007339DF">
        <w:rPr>
          <w:rtl/>
        </w:rPr>
        <w:t xml:space="preserve"> (23.</w:t>
      </w:r>
      <w:r>
        <w:rPr>
          <w:rFonts w:hint="cs"/>
          <w:rtl/>
        </w:rPr>
        <w:t>6</w:t>
      </w:r>
      <w:r w:rsidRPr="007339DF">
        <w:rPr>
          <w:rtl/>
        </w:rPr>
        <w:t>.2024)</w:t>
      </w:r>
      <w:r>
        <w:rPr>
          <w:rFonts w:hint="cs"/>
          <w:rtl/>
        </w:rPr>
        <w:t xml:space="preserve"> (להלן: עניין </w:t>
      </w:r>
      <w:r w:rsidRPr="00F71704">
        <w:rPr>
          <w:rFonts w:ascii="Century" w:hAnsi="Century" w:cs="Miriam" w:hint="cs"/>
          <w:b/>
          <w:spacing w:val="0"/>
          <w:szCs w:val="24"/>
          <w:rtl/>
        </w:rPr>
        <w:t>עומאר</w:t>
      </w:r>
      <w:r>
        <w:rPr>
          <w:rFonts w:hint="cs"/>
          <w:rtl/>
        </w:rPr>
        <w:t>)).</w:t>
      </w:r>
    </w:p>
    <w:p w:rsidR="00292D3F" w:rsidRDefault="00292D3F" w:rsidP="00292D3F">
      <w:pPr>
        <w:pStyle w:val="Ruller41"/>
        <w:rPr>
          <w:rtl/>
        </w:rPr>
      </w:pPr>
    </w:p>
    <w:p w:rsidR="00292D3F" w:rsidRDefault="00292D3F" w:rsidP="00292D3F">
      <w:pPr>
        <w:pStyle w:val="Ruller41"/>
        <w:rPr>
          <w:rtl/>
        </w:rPr>
      </w:pPr>
      <w:r>
        <w:rPr>
          <w:rtl/>
        </w:rPr>
        <w:tab/>
      </w:r>
      <w:r>
        <w:rPr>
          <w:rFonts w:hint="cs"/>
          <w:rtl/>
        </w:rPr>
        <w:t xml:space="preserve">אין באמור כדי לשנות מכך שכל מקרה ונסיבותיו הוא ובכל מקרה לבית המשפט מסור שיקול דעת רחב בגזירת עונשו של הרוצח הנידון בפניו. אלא שמדיניות ענישה מגובשת נצרכת כדי למנוע פערים גדולים ובלתי מוצדקים בענישה בין נאשמים שונים שביצעו עבירות דומות. צורך זה מתחדד בעניינה של עבירת הרצח </w:t>
      </w:r>
      <w:r w:rsidR="00F266C5">
        <w:rPr>
          <w:rFonts w:hint="cs"/>
          <w:rtl/>
        </w:rPr>
        <w:t>הבסיסית</w:t>
      </w:r>
      <w:r>
        <w:rPr>
          <w:rFonts w:hint="cs"/>
          <w:rtl/>
        </w:rPr>
        <w:t xml:space="preserve"> (עניין </w:t>
      </w:r>
      <w:r w:rsidRPr="00583400">
        <w:rPr>
          <w:rFonts w:ascii="Century" w:hAnsi="Century" w:cs="Miriam" w:hint="cs"/>
          <w:b/>
          <w:spacing w:val="0"/>
          <w:szCs w:val="24"/>
          <w:rtl/>
        </w:rPr>
        <w:t>ניקולקין</w:t>
      </w:r>
      <w:r>
        <w:rPr>
          <w:rFonts w:hint="cs"/>
          <w:rtl/>
        </w:rPr>
        <w:t>, בפסקה 14).</w:t>
      </w:r>
    </w:p>
    <w:p w:rsidR="00292D3F" w:rsidRDefault="00292D3F" w:rsidP="00292D3F">
      <w:pPr>
        <w:pStyle w:val="Ruller41"/>
        <w:rPr>
          <w:rtl/>
        </w:rPr>
      </w:pPr>
    </w:p>
    <w:p w:rsidR="00292D3F" w:rsidRPr="00C23F48" w:rsidRDefault="00292D3F" w:rsidP="00292D3F">
      <w:pPr>
        <w:pStyle w:val="Ruller4"/>
      </w:pPr>
      <w:r>
        <w:rPr>
          <w:rFonts w:hint="cs"/>
          <w:rtl/>
        </w:rPr>
        <w:t xml:space="preserve">על רקע זה, מתבהר כי מתחם העונש ההולם שקבע בית המשפט המחוזי בעניינו של המערער </w:t>
      </w:r>
      <w:r>
        <w:rPr>
          <w:rtl/>
        </w:rPr>
        <w:t>–</w:t>
      </w:r>
      <w:r>
        <w:rPr>
          <w:rFonts w:hint="cs"/>
          <w:rtl/>
        </w:rPr>
        <w:t xml:space="preserve"> 22 עד 25 שנות מאסר בפועל, מקל באופן משמעותי ביחס לענישה הנוהגת. בית משפט קמא היה ער למורכבות זו, אלא שלדידו כאמור, מתקיימות "נסיבות ייחודיות ויוצאות דופן" המצדיקות את קביעת המתחם כפי שנקבע. לבחינתן של נסיבות אלו ומשקלן ביחס לקביעת מתחם העונש, אפנה כעת.</w:t>
      </w:r>
    </w:p>
    <w:p w:rsidR="00292D3F" w:rsidRDefault="00292D3F" w:rsidP="00292D3F">
      <w:pPr>
        <w:pStyle w:val="Ruller41"/>
        <w:rPr>
          <w:rtl/>
        </w:rPr>
      </w:pPr>
    </w:p>
    <w:p w:rsidR="00292D3F" w:rsidRDefault="00292D3F" w:rsidP="00292D3F">
      <w:pPr>
        <w:pStyle w:val="Ruller41"/>
        <w:rPr>
          <w:rFonts w:ascii="Century" w:hAnsi="Century" w:cs="Miriam"/>
          <w:b/>
          <w:spacing w:val="0"/>
          <w:szCs w:val="24"/>
          <w:rtl/>
        </w:rPr>
      </w:pPr>
      <w:r>
        <w:rPr>
          <w:rFonts w:ascii="Century" w:hAnsi="Century" w:cs="Miriam"/>
          <w:b/>
          <w:spacing w:val="0"/>
          <w:szCs w:val="24"/>
          <w:rtl/>
        </w:rPr>
        <w:lastRenderedPageBreak/>
        <w:tab/>
      </w:r>
      <w:r>
        <w:rPr>
          <w:rFonts w:ascii="Century" w:hAnsi="Century" w:cs="Miriam" w:hint="cs"/>
          <w:b/>
          <w:spacing w:val="0"/>
          <w:szCs w:val="24"/>
          <w:rtl/>
        </w:rPr>
        <w:t xml:space="preserve">הרקע לרצח </w:t>
      </w:r>
    </w:p>
    <w:p w:rsidR="00292D3F" w:rsidRPr="006816FD" w:rsidRDefault="00292D3F" w:rsidP="00292D3F">
      <w:pPr>
        <w:pStyle w:val="Ruller41"/>
        <w:rPr>
          <w:rFonts w:ascii="Century" w:hAnsi="Century" w:cs="Miriam"/>
          <w:b/>
          <w:spacing w:val="0"/>
          <w:szCs w:val="24"/>
          <w:rtl/>
        </w:rPr>
      </w:pPr>
    </w:p>
    <w:p w:rsidR="00292D3F" w:rsidRDefault="00292D3F" w:rsidP="00292D3F">
      <w:pPr>
        <w:pStyle w:val="Ruller4"/>
        <w:rPr>
          <w:rtl/>
        </w:rPr>
      </w:pPr>
      <w:r>
        <w:rPr>
          <w:rFonts w:hint="cs"/>
          <w:rtl/>
        </w:rPr>
        <w:t xml:space="preserve">כזכור, המערער כפר בתחילת ההליך במיוחס לו ולכן נוהל הליך ההוכחות. רק לאחר שנשמעה עדות המערער ועדות עדי ההגנה, הגיעו הצדדים להסכמה, בהמלצת בית משפט קמא. בהתאם, </w:t>
      </w:r>
      <w:r w:rsidRPr="00EE1426">
        <w:rPr>
          <w:rFonts w:ascii="Century" w:hAnsi="Century" w:cs="Miriam" w:hint="cs"/>
          <w:b/>
          <w:spacing w:val="0"/>
          <w:sz w:val="22"/>
          <w:szCs w:val="24"/>
          <w:rtl/>
        </w:rPr>
        <w:t>כתב האישום תוקן</w:t>
      </w:r>
      <w:r>
        <w:rPr>
          <w:rFonts w:hint="cs"/>
          <w:rtl/>
        </w:rPr>
        <w:t xml:space="preserve">, המערער הודה בעובדות המתוארות בו והורשע ברצח המנוח ביסוד נפשי של </w:t>
      </w:r>
      <w:r w:rsidRPr="00F34A84">
        <w:rPr>
          <w:rFonts w:ascii="Century" w:hAnsi="Century" w:hint="cs"/>
          <w:sz w:val="22"/>
          <w:rtl/>
        </w:rPr>
        <w:t>כוונה.</w:t>
      </w:r>
      <w:r>
        <w:rPr>
          <w:rFonts w:hint="cs"/>
          <w:rtl/>
        </w:rPr>
        <w:t xml:space="preserve"> בשלב זה, ככלל, נפרש חוצץ בין שני חלקי ההליך </w:t>
      </w:r>
      <w:r>
        <w:rPr>
          <w:rtl/>
        </w:rPr>
        <w:t>–</w:t>
      </w:r>
      <w:r>
        <w:rPr>
          <w:rFonts w:hint="cs"/>
          <w:rtl/>
        </w:rPr>
        <w:t xml:space="preserve"> כל אשר נטען, הוצג ופורט בהליך ההוכחות אינו רלוונטי עוד; ואילו העובדות והנסיבות הקשורות בביצוע העבירה שעל פיהן ייגזר דינו של הנאשם, הן אלו אשר הוסכמו על ידי הצדדים בכתב האישום המתוקן. </w:t>
      </w:r>
    </w:p>
    <w:p w:rsidR="00292D3F" w:rsidRDefault="00292D3F" w:rsidP="00292D3F">
      <w:pPr>
        <w:pStyle w:val="Ruller41"/>
        <w:rPr>
          <w:rtl/>
        </w:rPr>
      </w:pPr>
    </w:p>
    <w:p w:rsidR="00292D3F" w:rsidRDefault="00292D3F" w:rsidP="00292D3F">
      <w:pPr>
        <w:pStyle w:val="Ruller41"/>
        <w:rPr>
          <w:rtl/>
        </w:rPr>
      </w:pPr>
      <w:r>
        <w:rPr>
          <w:rtl/>
        </w:rPr>
        <w:tab/>
      </w:r>
      <w:r>
        <w:rPr>
          <w:rFonts w:hint="cs"/>
          <w:rtl/>
        </w:rPr>
        <w:t>כלל זה הקבוע בסעיף 40(ד) לחוק "</w:t>
      </w:r>
      <w:r w:rsidRPr="005D5789">
        <w:rPr>
          <w:rFonts w:ascii="Century" w:hAnsi="Century" w:cs="Miriam" w:hint="eastAsia"/>
          <w:b/>
          <w:spacing w:val="0"/>
          <w:szCs w:val="24"/>
          <w:rtl/>
        </w:rPr>
        <w:t>משקף</w:t>
      </w:r>
      <w:r w:rsidRPr="005D5789">
        <w:rPr>
          <w:rFonts w:ascii="Century" w:hAnsi="Century" w:cs="Miriam"/>
          <w:b/>
          <w:spacing w:val="0"/>
          <w:szCs w:val="24"/>
          <w:rtl/>
        </w:rPr>
        <w:t xml:space="preserve"> </w:t>
      </w:r>
      <w:r w:rsidRPr="005D5789">
        <w:rPr>
          <w:rFonts w:ascii="Century" w:hAnsi="Century" w:cs="Miriam" w:hint="eastAsia"/>
          <w:b/>
          <w:spacing w:val="0"/>
          <w:szCs w:val="24"/>
          <w:rtl/>
        </w:rPr>
        <w:t>את</w:t>
      </w:r>
      <w:r w:rsidRPr="005D5789">
        <w:rPr>
          <w:rFonts w:ascii="Century" w:hAnsi="Century" w:cs="Miriam"/>
          <w:b/>
          <w:spacing w:val="0"/>
          <w:szCs w:val="24"/>
          <w:rtl/>
        </w:rPr>
        <w:t xml:space="preserve"> </w:t>
      </w:r>
      <w:r w:rsidRPr="005D5789">
        <w:rPr>
          <w:rFonts w:ascii="Century" w:hAnsi="Century" w:cs="Miriam" w:hint="eastAsia"/>
          <w:b/>
          <w:spacing w:val="0"/>
          <w:szCs w:val="24"/>
          <w:rtl/>
        </w:rPr>
        <w:t>הגישה</w:t>
      </w:r>
      <w:r w:rsidRPr="005D5789">
        <w:rPr>
          <w:rFonts w:ascii="Century" w:hAnsi="Century" w:cs="Miriam"/>
          <w:b/>
          <w:spacing w:val="0"/>
          <w:szCs w:val="24"/>
          <w:rtl/>
        </w:rPr>
        <w:t xml:space="preserve"> </w:t>
      </w:r>
      <w:r w:rsidRPr="005D5789">
        <w:rPr>
          <w:rFonts w:ascii="Century" w:hAnsi="Century" w:cs="Miriam" w:hint="eastAsia"/>
          <w:b/>
          <w:spacing w:val="0"/>
          <w:szCs w:val="24"/>
          <w:rtl/>
        </w:rPr>
        <w:t>הכללית</w:t>
      </w:r>
      <w:r w:rsidRPr="005D5789">
        <w:rPr>
          <w:rFonts w:ascii="Century" w:hAnsi="Century" w:cs="Miriam"/>
          <w:b/>
          <w:spacing w:val="0"/>
          <w:szCs w:val="24"/>
          <w:rtl/>
        </w:rPr>
        <w:t xml:space="preserve"> </w:t>
      </w:r>
      <w:r w:rsidRPr="005D5789">
        <w:rPr>
          <w:rFonts w:ascii="Century" w:hAnsi="Century" w:cs="Miriam" w:hint="eastAsia"/>
          <w:b/>
          <w:spacing w:val="0"/>
          <w:szCs w:val="24"/>
          <w:rtl/>
        </w:rPr>
        <w:t>שלפיה</w:t>
      </w:r>
      <w:r w:rsidRPr="005D5789">
        <w:rPr>
          <w:rFonts w:ascii="Century" w:hAnsi="Century" w:cs="Miriam"/>
          <w:b/>
          <w:spacing w:val="0"/>
          <w:szCs w:val="24"/>
          <w:rtl/>
        </w:rPr>
        <w:t xml:space="preserve"> </w:t>
      </w:r>
      <w:r w:rsidRPr="005D5789">
        <w:rPr>
          <w:rFonts w:ascii="Century" w:hAnsi="Century" w:cs="Miriam" w:hint="eastAsia"/>
          <w:b/>
          <w:spacing w:val="0"/>
          <w:szCs w:val="24"/>
          <w:rtl/>
        </w:rPr>
        <w:t>על</w:t>
      </w:r>
      <w:r w:rsidRPr="005D5789">
        <w:rPr>
          <w:rFonts w:ascii="Century" w:hAnsi="Century" w:cs="Miriam"/>
          <w:b/>
          <w:spacing w:val="0"/>
          <w:szCs w:val="24"/>
          <w:rtl/>
        </w:rPr>
        <w:t xml:space="preserve"> </w:t>
      </w:r>
      <w:r w:rsidRPr="005D5789">
        <w:rPr>
          <w:rFonts w:ascii="Century" w:hAnsi="Century" w:cs="Miriam" w:hint="eastAsia"/>
          <w:b/>
          <w:spacing w:val="0"/>
          <w:szCs w:val="24"/>
          <w:rtl/>
        </w:rPr>
        <w:t>כתב</w:t>
      </w:r>
      <w:r w:rsidRPr="005D5789">
        <w:rPr>
          <w:rFonts w:ascii="Century" w:hAnsi="Century" w:cs="Miriam"/>
          <w:b/>
          <w:spacing w:val="0"/>
          <w:szCs w:val="24"/>
          <w:rtl/>
        </w:rPr>
        <w:t xml:space="preserve"> </w:t>
      </w:r>
      <w:r w:rsidRPr="005D5789">
        <w:rPr>
          <w:rFonts w:ascii="Century" w:hAnsi="Century" w:cs="Miriam" w:hint="eastAsia"/>
          <w:b/>
          <w:spacing w:val="0"/>
          <w:szCs w:val="24"/>
          <w:rtl/>
        </w:rPr>
        <w:t>האישום</w:t>
      </w:r>
      <w:r w:rsidRPr="005D5789">
        <w:rPr>
          <w:rFonts w:ascii="Century" w:hAnsi="Century" w:cs="Miriam"/>
          <w:b/>
          <w:spacing w:val="0"/>
          <w:szCs w:val="24"/>
          <w:rtl/>
        </w:rPr>
        <w:t xml:space="preserve">, </w:t>
      </w:r>
      <w:r w:rsidRPr="005D5789">
        <w:rPr>
          <w:rFonts w:ascii="Century" w:hAnsi="Century" w:cs="Miriam" w:hint="eastAsia"/>
          <w:b/>
          <w:spacing w:val="0"/>
          <w:szCs w:val="24"/>
          <w:rtl/>
        </w:rPr>
        <w:t>ובפרט</w:t>
      </w:r>
      <w:r w:rsidRPr="005D5789">
        <w:rPr>
          <w:rFonts w:ascii="Century" w:hAnsi="Century" w:cs="Miriam"/>
          <w:b/>
          <w:spacing w:val="0"/>
          <w:szCs w:val="24"/>
          <w:rtl/>
        </w:rPr>
        <w:t xml:space="preserve"> </w:t>
      </w:r>
      <w:r w:rsidRPr="005D5789">
        <w:rPr>
          <w:rFonts w:ascii="Century" w:hAnsi="Century" w:cs="Miriam" w:hint="eastAsia"/>
          <w:b/>
          <w:spacing w:val="0"/>
          <w:szCs w:val="24"/>
          <w:rtl/>
        </w:rPr>
        <w:t>אם</w:t>
      </w:r>
      <w:r w:rsidRPr="005D5789">
        <w:rPr>
          <w:rFonts w:ascii="Century" w:hAnsi="Century" w:cs="Miriam"/>
          <w:b/>
          <w:spacing w:val="0"/>
          <w:szCs w:val="24"/>
          <w:rtl/>
        </w:rPr>
        <w:t xml:space="preserve"> </w:t>
      </w:r>
      <w:r w:rsidRPr="005D5789">
        <w:rPr>
          <w:rFonts w:ascii="Century" w:hAnsi="Century" w:cs="Miriam" w:hint="eastAsia"/>
          <w:b/>
          <w:spacing w:val="0"/>
          <w:szCs w:val="24"/>
          <w:rtl/>
        </w:rPr>
        <w:t>מדובר</w:t>
      </w:r>
      <w:r w:rsidRPr="005D5789">
        <w:rPr>
          <w:rFonts w:ascii="Century" w:hAnsi="Century" w:cs="Miriam"/>
          <w:b/>
          <w:spacing w:val="0"/>
          <w:szCs w:val="24"/>
          <w:rtl/>
        </w:rPr>
        <w:t xml:space="preserve"> </w:t>
      </w:r>
      <w:r w:rsidRPr="005D5789">
        <w:rPr>
          <w:rFonts w:ascii="Century" w:hAnsi="Century" w:cs="Miriam" w:hint="eastAsia"/>
          <w:b/>
          <w:spacing w:val="0"/>
          <w:szCs w:val="24"/>
          <w:rtl/>
        </w:rPr>
        <w:t>בכתב</w:t>
      </w:r>
      <w:r w:rsidRPr="005D5789">
        <w:rPr>
          <w:rFonts w:ascii="Century" w:hAnsi="Century" w:cs="Miriam"/>
          <w:b/>
          <w:spacing w:val="0"/>
          <w:szCs w:val="24"/>
          <w:rtl/>
        </w:rPr>
        <w:t xml:space="preserve"> </w:t>
      </w:r>
      <w:r w:rsidRPr="005D5789">
        <w:rPr>
          <w:rFonts w:ascii="Century" w:hAnsi="Century" w:cs="Miriam" w:hint="eastAsia"/>
          <w:b/>
          <w:spacing w:val="0"/>
          <w:szCs w:val="24"/>
          <w:rtl/>
        </w:rPr>
        <w:t>אישום</w:t>
      </w:r>
      <w:r w:rsidRPr="005D5789">
        <w:rPr>
          <w:rFonts w:ascii="Century" w:hAnsi="Century" w:cs="Miriam"/>
          <w:b/>
          <w:spacing w:val="0"/>
          <w:szCs w:val="24"/>
          <w:rtl/>
        </w:rPr>
        <w:t xml:space="preserve"> </w:t>
      </w:r>
      <w:r w:rsidRPr="005D5789">
        <w:rPr>
          <w:rFonts w:ascii="Century" w:hAnsi="Century" w:cs="Miriam" w:hint="eastAsia"/>
          <w:b/>
          <w:spacing w:val="0"/>
          <w:szCs w:val="24"/>
          <w:rtl/>
        </w:rPr>
        <w:t>מתוקן</w:t>
      </w:r>
      <w:r w:rsidRPr="005D5789">
        <w:rPr>
          <w:rFonts w:ascii="Century" w:hAnsi="Century" w:cs="Miriam"/>
          <w:b/>
          <w:spacing w:val="0"/>
          <w:szCs w:val="24"/>
          <w:rtl/>
        </w:rPr>
        <w:t xml:space="preserve"> </w:t>
      </w:r>
      <w:r w:rsidRPr="005D5789">
        <w:rPr>
          <w:rFonts w:ascii="Century" w:hAnsi="Century" w:cs="Miriam" w:hint="eastAsia"/>
          <w:b/>
          <w:spacing w:val="0"/>
          <w:szCs w:val="24"/>
          <w:rtl/>
        </w:rPr>
        <w:t>שהוגש</w:t>
      </w:r>
      <w:r w:rsidRPr="005D5789">
        <w:rPr>
          <w:rFonts w:ascii="Century" w:hAnsi="Century" w:cs="Miriam"/>
          <w:b/>
          <w:spacing w:val="0"/>
          <w:szCs w:val="24"/>
          <w:rtl/>
        </w:rPr>
        <w:t xml:space="preserve"> </w:t>
      </w:r>
      <w:r w:rsidRPr="005D5789">
        <w:rPr>
          <w:rFonts w:ascii="Century" w:hAnsi="Century" w:cs="Miriam" w:hint="eastAsia"/>
          <w:b/>
          <w:spacing w:val="0"/>
          <w:szCs w:val="24"/>
          <w:rtl/>
        </w:rPr>
        <w:t>במסגרת</w:t>
      </w:r>
      <w:r w:rsidRPr="005D5789">
        <w:rPr>
          <w:rFonts w:ascii="Century" w:hAnsi="Century" w:cs="Miriam"/>
          <w:b/>
          <w:spacing w:val="0"/>
          <w:szCs w:val="24"/>
          <w:rtl/>
        </w:rPr>
        <w:t xml:space="preserve"> </w:t>
      </w:r>
      <w:r w:rsidRPr="005D5789">
        <w:rPr>
          <w:rFonts w:ascii="Century" w:hAnsi="Century" w:cs="Miriam" w:hint="eastAsia"/>
          <w:b/>
          <w:spacing w:val="0"/>
          <w:szCs w:val="24"/>
          <w:rtl/>
        </w:rPr>
        <w:t>הסדר</w:t>
      </w:r>
      <w:r w:rsidRPr="005D5789">
        <w:rPr>
          <w:rFonts w:ascii="Century" w:hAnsi="Century" w:cs="Miriam"/>
          <w:b/>
          <w:spacing w:val="0"/>
          <w:szCs w:val="24"/>
          <w:rtl/>
        </w:rPr>
        <w:t xml:space="preserve"> </w:t>
      </w:r>
      <w:r w:rsidRPr="005D5789">
        <w:rPr>
          <w:rFonts w:ascii="Century" w:hAnsi="Century" w:cs="Miriam" w:hint="eastAsia"/>
          <w:b/>
          <w:spacing w:val="0"/>
          <w:szCs w:val="24"/>
          <w:rtl/>
        </w:rPr>
        <w:t>טיעון</w:t>
      </w:r>
      <w:r w:rsidRPr="005D5789">
        <w:rPr>
          <w:rFonts w:ascii="Century" w:hAnsi="Century" w:cs="Miriam"/>
          <w:b/>
          <w:spacing w:val="0"/>
          <w:szCs w:val="24"/>
          <w:rtl/>
        </w:rPr>
        <w:t xml:space="preserve">, </w:t>
      </w:r>
      <w:r w:rsidRPr="005D5789">
        <w:rPr>
          <w:rFonts w:ascii="Century" w:hAnsi="Century" w:cs="Miriam" w:hint="eastAsia"/>
          <w:b/>
          <w:spacing w:val="0"/>
          <w:szCs w:val="24"/>
          <w:rtl/>
        </w:rPr>
        <w:t>לכלול</w:t>
      </w:r>
      <w:r w:rsidRPr="005D5789">
        <w:rPr>
          <w:rFonts w:ascii="Century" w:hAnsi="Century" w:cs="Miriam"/>
          <w:b/>
          <w:spacing w:val="0"/>
          <w:szCs w:val="24"/>
          <w:rtl/>
        </w:rPr>
        <w:t xml:space="preserve"> </w:t>
      </w:r>
      <w:r w:rsidRPr="005D5789">
        <w:rPr>
          <w:rFonts w:ascii="Century" w:hAnsi="Century" w:cs="Miriam" w:hint="eastAsia"/>
          <w:b/>
          <w:spacing w:val="0"/>
          <w:szCs w:val="24"/>
          <w:rtl/>
        </w:rPr>
        <w:t>את</w:t>
      </w:r>
      <w:r w:rsidRPr="005D5789">
        <w:rPr>
          <w:rFonts w:ascii="Century" w:hAnsi="Century" w:cs="Miriam"/>
          <w:b/>
          <w:spacing w:val="0"/>
          <w:szCs w:val="24"/>
          <w:rtl/>
        </w:rPr>
        <w:t xml:space="preserve"> </w:t>
      </w:r>
      <w:r w:rsidRPr="005D5789">
        <w:rPr>
          <w:rFonts w:ascii="Century" w:hAnsi="Century" w:cs="Miriam" w:hint="eastAsia"/>
          <w:b/>
          <w:spacing w:val="0"/>
          <w:szCs w:val="24"/>
          <w:rtl/>
        </w:rPr>
        <w:t>כל</w:t>
      </w:r>
      <w:r w:rsidRPr="005D5789">
        <w:rPr>
          <w:rFonts w:ascii="Century" w:hAnsi="Century" w:cs="Miriam"/>
          <w:b/>
          <w:spacing w:val="0"/>
          <w:szCs w:val="24"/>
          <w:rtl/>
        </w:rPr>
        <w:t xml:space="preserve"> </w:t>
      </w:r>
      <w:r w:rsidRPr="005D5789">
        <w:rPr>
          <w:rFonts w:ascii="Century" w:hAnsi="Century" w:cs="Miriam" w:hint="eastAsia"/>
          <w:b/>
          <w:spacing w:val="0"/>
          <w:szCs w:val="24"/>
          <w:rtl/>
        </w:rPr>
        <w:t>העובדות</w:t>
      </w:r>
      <w:r w:rsidRPr="005D5789">
        <w:rPr>
          <w:rFonts w:ascii="Century" w:hAnsi="Century" w:cs="Miriam"/>
          <w:b/>
          <w:spacing w:val="0"/>
          <w:szCs w:val="24"/>
          <w:rtl/>
        </w:rPr>
        <w:t xml:space="preserve"> </w:t>
      </w:r>
      <w:r w:rsidRPr="005D5789">
        <w:rPr>
          <w:rFonts w:ascii="Century" w:hAnsi="Century" w:cs="Miriam" w:hint="eastAsia"/>
          <w:b/>
          <w:spacing w:val="0"/>
          <w:szCs w:val="24"/>
          <w:rtl/>
        </w:rPr>
        <w:t>והנסיבות</w:t>
      </w:r>
      <w:r w:rsidRPr="005D5789">
        <w:rPr>
          <w:rFonts w:ascii="Century" w:hAnsi="Century" w:cs="Miriam"/>
          <w:b/>
          <w:spacing w:val="0"/>
          <w:szCs w:val="24"/>
          <w:rtl/>
        </w:rPr>
        <w:t xml:space="preserve"> </w:t>
      </w:r>
      <w:r w:rsidRPr="005D5789">
        <w:rPr>
          <w:rFonts w:ascii="Century" w:hAnsi="Century" w:cs="Miriam" w:hint="eastAsia"/>
          <w:b/>
          <w:spacing w:val="0"/>
          <w:szCs w:val="24"/>
          <w:rtl/>
        </w:rPr>
        <w:t>הרלבנטיות</w:t>
      </w:r>
      <w:r w:rsidRPr="005D5789">
        <w:rPr>
          <w:rFonts w:ascii="Century" w:hAnsi="Century" w:cs="Miriam"/>
          <w:b/>
          <w:spacing w:val="0"/>
          <w:szCs w:val="24"/>
          <w:rtl/>
        </w:rPr>
        <w:t xml:space="preserve"> </w:t>
      </w:r>
      <w:r w:rsidRPr="005D5789">
        <w:rPr>
          <w:rFonts w:ascii="Century" w:hAnsi="Century" w:cs="Miriam" w:hint="eastAsia"/>
          <w:b/>
          <w:spacing w:val="0"/>
          <w:szCs w:val="24"/>
          <w:rtl/>
        </w:rPr>
        <w:t>לביצוע</w:t>
      </w:r>
      <w:r w:rsidRPr="005D5789">
        <w:rPr>
          <w:rFonts w:ascii="Century" w:hAnsi="Century" w:cs="Miriam"/>
          <w:b/>
          <w:spacing w:val="0"/>
          <w:szCs w:val="24"/>
          <w:rtl/>
        </w:rPr>
        <w:t xml:space="preserve"> </w:t>
      </w:r>
      <w:r w:rsidRPr="005D5789">
        <w:rPr>
          <w:rFonts w:ascii="Century" w:hAnsi="Century" w:cs="Miriam" w:hint="eastAsia"/>
          <w:b/>
          <w:spacing w:val="0"/>
          <w:szCs w:val="24"/>
          <w:rtl/>
        </w:rPr>
        <w:t>העבירה</w:t>
      </w:r>
      <w:r w:rsidRPr="005D5789">
        <w:rPr>
          <w:rFonts w:ascii="Century" w:hAnsi="Century" w:cs="Miriam"/>
          <w:b/>
          <w:spacing w:val="0"/>
          <w:szCs w:val="24"/>
          <w:rtl/>
        </w:rPr>
        <w:t xml:space="preserve">. </w:t>
      </w:r>
      <w:r w:rsidRPr="005D5789">
        <w:rPr>
          <w:rFonts w:ascii="Century" w:hAnsi="Century" w:cs="Miriam" w:hint="eastAsia"/>
          <w:b/>
          <w:spacing w:val="0"/>
          <w:szCs w:val="24"/>
          <w:rtl/>
        </w:rPr>
        <w:t>באופן</w:t>
      </w:r>
      <w:r w:rsidRPr="005D5789">
        <w:rPr>
          <w:rFonts w:ascii="Century" w:hAnsi="Century" w:cs="Miriam"/>
          <w:b/>
          <w:spacing w:val="0"/>
          <w:szCs w:val="24"/>
          <w:rtl/>
        </w:rPr>
        <w:t xml:space="preserve"> </w:t>
      </w:r>
      <w:r w:rsidRPr="005D5789">
        <w:rPr>
          <w:rFonts w:ascii="Century" w:hAnsi="Century" w:cs="Miriam" w:hint="eastAsia"/>
          <w:b/>
          <w:spacing w:val="0"/>
          <w:szCs w:val="24"/>
          <w:rtl/>
        </w:rPr>
        <w:t>זה</w:t>
      </w:r>
      <w:r w:rsidRPr="005D5789">
        <w:rPr>
          <w:rFonts w:ascii="Century" w:hAnsi="Century" w:cs="Miriam"/>
          <w:b/>
          <w:spacing w:val="0"/>
          <w:szCs w:val="24"/>
          <w:rtl/>
        </w:rPr>
        <w:t xml:space="preserve">, </w:t>
      </w:r>
      <w:r w:rsidRPr="005D5789">
        <w:rPr>
          <w:rFonts w:ascii="Century" w:hAnsi="Century" w:cs="Miriam" w:hint="eastAsia"/>
          <w:b/>
          <w:spacing w:val="0"/>
          <w:szCs w:val="24"/>
          <w:rtl/>
        </w:rPr>
        <w:t>הדיון</w:t>
      </w:r>
      <w:r w:rsidRPr="005D5789">
        <w:rPr>
          <w:rFonts w:ascii="Century" w:hAnsi="Century" w:cs="Miriam"/>
          <w:b/>
          <w:spacing w:val="0"/>
          <w:szCs w:val="24"/>
          <w:rtl/>
        </w:rPr>
        <w:t xml:space="preserve"> </w:t>
      </w:r>
      <w:r w:rsidRPr="005D5789">
        <w:rPr>
          <w:rFonts w:ascii="Century" w:hAnsi="Century" w:cs="Miriam" w:hint="eastAsia"/>
          <w:b/>
          <w:spacing w:val="0"/>
          <w:szCs w:val="24"/>
          <w:rtl/>
        </w:rPr>
        <w:t>בעניינו</w:t>
      </w:r>
      <w:r w:rsidRPr="005D5789">
        <w:rPr>
          <w:rFonts w:ascii="Century" w:hAnsi="Century" w:cs="Miriam"/>
          <w:b/>
          <w:spacing w:val="0"/>
          <w:szCs w:val="24"/>
          <w:rtl/>
        </w:rPr>
        <w:t xml:space="preserve"> </w:t>
      </w:r>
      <w:r w:rsidRPr="005D5789">
        <w:rPr>
          <w:rFonts w:ascii="Century" w:hAnsi="Century" w:cs="Miriam" w:hint="eastAsia"/>
          <w:b/>
          <w:spacing w:val="0"/>
          <w:szCs w:val="24"/>
          <w:rtl/>
        </w:rPr>
        <w:t>של</w:t>
      </w:r>
      <w:r w:rsidRPr="005D5789">
        <w:rPr>
          <w:rFonts w:ascii="Century" w:hAnsi="Century" w:cs="Miriam"/>
          <w:b/>
          <w:spacing w:val="0"/>
          <w:szCs w:val="24"/>
          <w:rtl/>
        </w:rPr>
        <w:t xml:space="preserve"> </w:t>
      </w:r>
      <w:r w:rsidRPr="005D5789">
        <w:rPr>
          <w:rFonts w:ascii="Century" w:hAnsi="Century" w:cs="Miriam" w:hint="eastAsia"/>
          <w:b/>
          <w:spacing w:val="0"/>
          <w:szCs w:val="24"/>
          <w:rtl/>
        </w:rPr>
        <w:t>הנאשם</w:t>
      </w:r>
      <w:r w:rsidRPr="005D5789">
        <w:rPr>
          <w:rFonts w:ascii="Century" w:hAnsi="Century" w:cs="Miriam"/>
          <w:b/>
          <w:spacing w:val="0"/>
          <w:szCs w:val="24"/>
          <w:rtl/>
        </w:rPr>
        <w:t xml:space="preserve"> </w:t>
      </w:r>
      <w:r w:rsidRPr="005D5789">
        <w:rPr>
          <w:rFonts w:ascii="Century" w:hAnsi="Century" w:cs="Miriam" w:hint="eastAsia"/>
          <w:b/>
          <w:spacing w:val="0"/>
          <w:szCs w:val="24"/>
          <w:rtl/>
        </w:rPr>
        <w:t>נותר</w:t>
      </w:r>
      <w:r w:rsidRPr="005D5789">
        <w:rPr>
          <w:rFonts w:ascii="Century" w:hAnsi="Century" w:cs="Miriam"/>
          <w:b/>
          <w:spacing w:val="0"/>
          <w:szCs w:val="24"/>
          <w:rtl/>
        </w:rPr>
        <w:t xml:space="preserve"> </w:t>
      </w:r>
      <w:r w:rsidRPr="005D5789">
        <w:rPr>
          <w:rFonts w:ascii="Century" w:hAnsi="Century" w:cs="Miriam" w:hint="eastAsia"/>
          <w:b/>
          <w:spacing w:val="0"/>
          <w:szCs w:val="24"/>
          <w:rtl/>
        </w:rPr>
        <w:t>תחום</w:t>
      </w:r>
      <w:r w:rsidRPr="005D5789">
        <w:rPr>
          <w:rFonts w:ascii="Century" w:hAnsi="Century" w:cs="Miriam"/>
          <w:b/>
          <w:spacing w:val="0"/>
          <w:szCs w:val="24"/>
          <w:rtl/>
        </w:rPr>
        <w:t xml:space="preserve">, </w:t>
      </w:r>
      <w:r w:rsidRPr="005D5789">
        <w:rPr>
          <w:rFonts w:ascii="Century" w:hAnsi="Century" w:cs="Miriam" w:hint="eastAsia"/>
          <w:b/>
          <w:spacing w:val="0"/>
          <w:szCs w:val="24"/>
          <w:rtl/>
        </w:rPr>
        <w:t>ואינו</w:t>
      </w:r>
      <w:r w:rsidRPr="005D5789">
        <w:rPr>
          <w:rFonts w:ascii="Century" w:hAnsi="Century" w:cs="Miriam"/>
          <w:b/>
          <w:spacing w:val="0"/>
          <w:szCs w:val="24"/>
          <w:rtl/>
        </w:rPr>
        <w:t xml:space="preserve"> </w:t>
      </w:r>
      <w:r w:rsidRPr="005D5789">
        <w:rPr>
          <w:rFonts w:ascii="Century" w:hAnsi="Century" w:cs="Miriam" w:hint="eastAsia"/>
          <w:b/>
          <w:spacing w:val="0"/>
          <w:szCs w:val="24"/>
          <w:rtl/>
        </w:rPr>
        <w:t>חורג</w:t>
      </w:r>
      <w:r w:rsidRPr="005D5789">
        <w:rPr>
          <w:rFonts w:ascii="Century" w:hAnsi="Century" w:cs="Miriam"/>
          <w:b/>
          <w:spacing w:val="0"/>
          <w:szCs w:val="24"/>
          <w:rtl/>
        </w:rPr>
        <w:t xml:space="preserve"> </w:t>
      </w:r>
      <w:r w:rsidRPr="005D5789">
        <w:rPr>
          <w:rFonts w:ascii="Century" w:hAnsi="Century" w:cs="Miriam" w:hint="eastAsia"/>
          <w:b/>
          <w:spacing w:val="0"/>
          <w:szCs w:val="24"/>
          <w:rtl/>
        </w:rPr>
        <w:t>למחוזות</w:t>
      </w:r>
      <w:r w:rsidRPr="005D5789">
        <w:rPr>
          <w:rFonts w:ascii="Century" w:hAnsi="Century" w:cs="Miriam"/>
          <w:b/>
          <w:spacing w:val="0"/>
          <w:szCs w:val="24"/>
          <w:rtl/>
        </w:rPr>
        <w:t xml:space="preserve"> </w:t>
      </w:r>
      <w:r w:rsidRPr="005D5789">
        <w:rPr>
          <w:rFonts w:ascii="Century" w:hAnsi="Century" w:cs="Miriam" w:hint="eastAsia"/>
          <w:b/>
          <w:spacing w:val="0"/>
          <w:szCs w:val="24"/>
          <w:rtl/>
        </w:rPr>
        <w:t>שלא</w:t>
      </w:r>
      <w:r w:rsidRPr="005D5789">
        <w:rPr>
          <w:rFonts w:ascii="Century" w:hAnsi="Century" w:cs="Miriam"/>
          <w:b/>
          <w:spacing w:val="0"/>
          <w:szCs w:val="24"/>
          <w:rtl/>
        </w:rPr>
        <w:t xml:space="preserve"> </w:t>
      </w:r>
      <w:r w:rsidRPr="005D5789">
        <w:rPr>
          <w:rFonts w:ascii="Century" w:hAnsi="Century" w:cs="Miriam" w:hint="eastAsia"/>
          <w:b/>
          <w:spacing w:val="0"/>
          <w:szCs w:val="24"/>
          <w:rtl/>
        </w:rPr>
        <w:t>בא</w:t>
      </w:r>
      <w:r w:rsidRPr="005D5789">
        <w:rPr>
          <w:rFonts w:ascii="Century" w:hAnsi="Century" w:cs="Miriam"/>
          <w:b/>
          <w:spacing w:val="0"/>
          <w:szCs w:val="24"/>
          <w:rtl/>
        </w:rPr>
        <w:t xml:space="preserve"> </w:t>
      </w:r>
      <w:r w:rsidRPr="005D5789">
        <w:rPr>
          <w:rFonts w:ascii="Century" w:hAnsi="Century" w:cs="Miriam" w:hint="eastAsia"/>
          <w:b/>
          <w:spacing w:val="0"/>
          <w:szCs w:val="24"/>
          <w:rtl/>
        </w:rPr>
        <w:t>זכרם</w:t>
      </w:r>
      <w:r w:rsidRPr="005D5789">
        <w:rPr>
          <w:rFonts w:ascii="Century" w:hAnsi="Century" w:cs="Miriam"/>
          <w:b/>
          <w:spacing w:val="0"/>
          <w:szCs w:val="24"/>
          <w:rtl/>
        </w:rPr>
        <w:t xml:space="preserve"> </w:t>
      </w:r>
      <w:r w:rsidRPr="005D5789">
        <w:rPr>
          <w:rFonts w:ascii="Century" w:hAnsi="Century" w:cs="Miriam" w:hint="eastAsia"/>
          <w:b/>
          <w:spacing w:val="0"/>
          <w:szCs w:val="24"/>
          <w:rtl/>
        </w:rPr>
        <w:t>בכתב</w:t>
      </w:r>
      <w:r w:rsidRPr="005D5789">
        <w:rPr>
          <w:rFonts w:ascii="Century" w:hAnsi="Century" w:cs="Miriam"/>
          <w:b/>
          <w:spacing w:val="0"/>
          <w:szCs w:val="24"/>
          <w:rtl/>
        </w:rPr>
        <w:t xml:space="preserve"> </w:t>
      </w:r>
      <w:r w:rsidRPr="005D5789">
        <w:rPr>
          <w:rFonts w:ascii="Century" w:hAnsi="Century" w:cs="Miriam" w:hint="eastAsia"/>
          <w:b/>
          <w:spacing w:val="0"/>
          <w:szCs w:val="24"/>
          <w:rtl/>
        </w:rPr>
        <w:t>האישום</w:t>
      </w:r>
      <w:r>
        <w:rPr>
          <w:rFonts w:hint="cs"/>
          <w:rtl/>
        </w:rPr>
        <w:t xml:space="preserve">" (עניין </w:t>
      </w:r>
      <w:r w:rsidRPr="00D96AE6">
        <w:rPr>
          <w:rFonts w:ascii="Century" w:hAnsi="Century" w:cs="Miriam" w:hint="cs"/>
          <w:b/>
          <w:spacing w:val="0"/>
          <w:szCs w:val="24"/>
          <w:rtl/>
        </w:rPr>
        <w:t>ניקולקין</w:t>
      </w:r>
      <w:r>
        <w:rPr>
          <w:rFonts w:hint="cs"/>
          <w:rtl/>
        </w:rPr>
        <w:t xml:space="preserve">, בפסקה 23). ממילא, כאשר כתב האישום המתוקן התגבש בעקבות הסכמה בין הצדדים והסדר טיעון, דרך המלך </w:t>
      </w:r>
      <w:r w:rsidRPr="00A11514">
        <w:rPr>
          <w:rFonts w:hint="eastAsia"/>
          <w:rtl/>
        </w:rPr>
        <w:t>להוספת</w:t>
      </w:r>
      <w:r w:rsidRPr="00A11514">
        <w:rPr>
          <w:rtl/>
        </w:rPr>
        <w:t xml:space="preserve"> </w:t>
      </w:r>
      <w:r w:rsidRPr="00A11514">
        <w:rPr>
          <w:rFonts w:hint="eastAsia"/>
          <w:rtl/>
        </w:rPr>
        <w:t>עובדות</w:t>
      </w:r>
      <w:r w:rsidRPr="00A11514">
        <w:rPr>
          <w:rtl/>
        </w:rPr>
        <w:t xml:space="preserve"> </w:t>
      </w:r>
      <w:r w:rsidRPr="00A11514">
        <w:rPr>
          <w:rFonts w:hint="eastAsia"/>
          <w:rtl/>
        </w:rPr>
        <w:t>או</w:t>
      </w:r>
      <w:r w:rsidRPr="00A11514">
        <w:rPr>
          <w:rtl/>
        </w:rPr>
        <w:t xml:space="preserve"> </w:t>
      </w:r>
      <w:r w:rsidRPr="00A11514">
        <w:rPr>
          <w:rFonts w:hint="eastAsia"/>
          <w:rtl/>
        </w:rPr>
        <w:t>נסיבות</w:t>
      </w:r>
      <w:r w:rsidRPr="00A11514">
        <w:rPr>
          <w:rtl/>
        </w:rPr>
        <w:t xml:space="preserve"> </w:t>
      </w:r>
      <w:r>
        <w:rPr>
          <w:rFonts w:hint="cs"/>
          <w:rtl/>
        </w:rPr>
        <w:t>רלוונטיות</w:t>
      </w:r>
      <w:r w:rsidRPr="00A11514">
        <w:rPr>
          <w:rtl/>
        </w:rPr>
        <w:t xml:space="preserve"> </w:t>
      </w:r>
      <w:r w:rsidRPr="00A11514">
        <w:rPr>
          <w:rFonts w:hint="eastAsia"/>
          <w:rtl/>
        </w:rPr>
        <w:t>היא</w:t>
      </w:r>
      <w:r w:rsidRPr="00A11514">
        <w:rPr>
          <w:rtl/>
        </w:rPr>
        <w:t xml:space="preserve"> </w:t>
      </w:r>
      <w:r w:rsidRPr="00A11514">
        <w:rPr>
          <w:rFonts w:hint="eastAsia"/>
          <w:rtl/>
        </w:rPr>
        <w:t>הכללתן</w:t>
      </w:r>
      <w:r>
        <w:rPr>
          <w:rFonts w:hint="cs"/>
          <w:rtl/>
        </w:rPr>
        <w:t xml:space="preserve"> </w:t>
      </w:r>
      <w:r w:rsidRPr="00A11514">
        <w:rPr>
          <w:rFonts w:hint="eastAsia"/>
          <w:rtl/>
        </w:rPr>
        <w:t>בכתב</w:t>
      </w:r>
      <w:r w:rsidRPr="00A11514">
        <w:rPr>
          <w:rtl/>
        </w:rPr>
        <w:t xml:space="preserve"> </w:t>
      </w:r>
      <w:r w:rsidRPr="00A11514">
        <w:rPr>
          <w:rFonts w:hint="eastAsia"/>
          <w:rtl/>
        </w:rPr>
        <w:t>האישום</w:t>
      </w:r>
      <w:r>
        <w:rPr>
          <w:rFonts w:hint="cs"/>
          <w:rtl/>
        </w:rPr>
        <w:t xml:space="preserve"> המתוקן. גם במצב זה, המחוקק הותיר </w:t>
      </w:r>
      <w:r w:rsidRPr="007B5980">
        <w:rPr>
          <w:rFonts w:hint="eastAsia"/>
          <w:rtl/>
        </w:rPr>
        <w:t>בסעיף</w:t>
      </w:r>
      <w:r w:rsidRPr="007B5980">
        <w:rPr>
          <w:rtl/>
        </w:rPr>
        <w:t xml:space="preserve"> 40</w:t>
      </w:r>
      <w:r w:rsidRPr="007B5980">
        <w:rPr>
          <w:rFonts w:hint="eastAsia"/>
          <w:rtl/>
        </w:rPr>
        <w:t>י</w:t>
      </w:r>
      <w:r w:rsidRPr="007B5980">
        <w:rPr>
          <w:rtl/>
        </w:rPr>
        <w:t>(</w:t>
      </w:r>
      <w:r w:rsidRPr="007B5980">
        <w:rPr>
          <w:rFonts w:hint="eastAsia"/>
          <w:rtl/>
        </w:rPr>
        <w:t>ב</w:t>
      </w:r>
      <w:r w:rsidRPr="007B5980">
        <w:rPr>
          <w:rtl/>
        </w:rPr>
        <w:t>)(2)</w:t>
      </w:r>
      <w:r>
        <w:rPr>
          <w:rFonts w:hint="cs"/>
          <w:rtl/>
        </w:rPr>
        <w:t xml:space="preserve"> לחוק</w:t>
      </w:r>
      <w:r w:rsidRPr="007B5980">
        <w:rPr>
          <w:rFonts w:hint="cs"/>
          <w:rtl/>
        </w:rPr>
        <w:t xml:space="preserve"> </w:t>
      </w:r>
      <w:r>
        <w:rPr>
          <w:rFonts w:hint="cs"/>
          <w:rtl/>
        </w:rPr>
        <w:t xml:space="preserve">פתח צר המאפשר לצדדים </w:t>
      </w:r>
      <w:r w:rsidRPr="00A11514">
        <w:rPr>
          <w:rFonts w:hint="eastAsia"/>
          <w:rtl/>
        </w:rPr>
        <w:t>לפנות</w:t>
      </w:r>
      <w:r w:rsidRPr="00A11514">
        <w:rPr>
          <w:rtl/>
        </w:rPr>
        <w:t xml:space="preserve"> </w:t>
      </w:r>
      <w:r w:rsidRPr="00A11514">
        <w:rPr>
          <w:rFonts w:hint="eastAsia"/>
          <w:rtl/>
        </w:rPr>
        <w:t>לבית</w:t>
      </w:r>
      <w:r w:rsidRPr="00A11514">
        <w:rPr>
          <w:rtl/>
        </w:rPr>
        <w:t xml:space="preserve"> </w:t>
      </w:r>
      <w:r w:rsidRPr="00A11514">
        <w:rPr>
          <w:rFonts w:hint="eastAsia"/>
          <w:rtl/>
        </w:rPr>
        <w:t>המשפט</w:t>
      </w:r>
      <w:r w:rsidRPr="00A11514">
        <w:rPr>
          <w:rtl/>
        </w:rPr>
        <w:t xml:space="preserve"> </w:t>
      </w:r>
      <w:r w:rsidRPr="00A11514">
        <w:rPr>
          <w:rFonts w:hint="eastAsia"/>
          <w:rtl/>
        </w:rPr>
        <w:t>ולבקש</w:t>
      </w:r>
      <w:r w:rsidRPr="00A11514">
        <w:rPr>
          <w:rtl/>
        </w:rPr>
        <w:t xml:space="preserve"> </w:t>
      </w:r>
      <w:r w:rsidRPr="00A11514">
        <w:rPr>
          <w:rFonts w:hint="eastAsia"/>
          <w:rtl/>
        </w:rPr>
        <w:t>להביא</w:t>
      </w:r>
      <w:r w:rsidRPr="00A11514">
        <w:rPr>
          <w:rtl/>
        </w:rPr>
        <w:t xml:space="preserve"> </w:t>
      </w:r>
      <w:r w:rsidRPr="00A11514">
        <w:rPr>
          <w:rFonts w:hint="eastAsia"/>
          <w:rtl/>
        </w:rPr>
        <w:t>ראיות</w:t>
      </w:r>
      <w:r w:rsidRPr="00A11514">
        <w:rPr>
          <w:rtl/>
        </w:rPr>
        <w:t xml:space="preserve"> </w:t>
      </w:r>
      <w:r w:rsidRPr="00A11514">
        <w:rPr>
          <w:rFonts w:hint="eastAsia"/>
          <w:rtl/>
        </w:rPr>
        <w:t>כאמור</w:t>
      </w:r>
      <w:r w:rsidRPr="00A11514">
        <w:rPr>
          <w:rtl/>
        </w:rPr>
        <w:t xml:space="preserve">, </w:t>
      </w:r>
      <w:r w:rsidRPr="00A11514">
        <w:rPr>
          <w:rFonts w:hint="eastAsia"/>
          <w:rtl/>
        </w:rPr>
        <w:t>ובקשה</w:t>
      </w:r>
      <w:r w:rsidRPr="00A11514">
        <w:rPr>
          <w:rtl/>
        </w:rPr>
        <w:t xml:space="preserve"> </w:t>
      </w:r>
      <w:r w:rsidRPr="00A11514">
        <w:rPr>
          <w:rFonts w:hint="eastAsia"/>
          <w:rtl/>
        </w:rPr>
        <w:t>זו</w:t>
      </w:r>
      <w:r w:rsidRPr="00A11514">
        <w:rPr>
          <w:rtl/>
        </w:rPr>
        <w:t xml:space="preserve"> </w:t>
      </w:r>
      <w:r w:rsidRPr="00A11514">
        <w:rPr>
          <w:rFonts w:hint="eastAsia"/>
          <w:rtl/>
        </w:rPr>
        <w:t>תתקבל</w:t>
      </w:r>
      <w:r w:rsidRPr="00A11514">
        <w:rPr>
          <w:rtl/>
        </w:rPr>
        <w:t xml:space="preserve"> </w:t>
      </w:r>
      <w:r w:rsidRPr="00A11514">
        <w:rPr>
          <w:rFonts w:hint="eastAsia"/>
          <w:rtl/>
        </w:rPr>
        <w:t>בנסיבות</w:t>
      </w:r>
      <w:r w:rsidRPr="00A11514">
        <w:rPr>
          <w:rtl/>
        </w:rPr>
        <w:t xml:space="preserve"> </w:t>
      </w:r>
      <w:r>
        <w:rPr>
          <w:rFonts w:hint="cs"/>
          <w:rtl/>
        </w:rPr>
        <w:t xml:space="preserve">חריגות </w:t>
      </w:r>
      <w:r w:rsidRPr="00A11514">
        <w:rPr>
          <w:rFonts w:hint="eastAsia"/>
          <w:rtl/>
        </w:rPr>
        <w:t>המפורטות</w:t>
      </w:r>
      <w:r w:rsidRPr="00A11514">
        <w:rPr>
          <w:rtl/>
        </w:rPr>
        <w:t xml:space="preserve"> </w:t>
      </w:r>
      <w:r w:rsidRPr="00A11514">
        <w:rPr>
          <w:rFonts w:hint="eastAsia"/>
          <w:rtl/>
        </w:rPr>
        <w:t>בסעיף</w:t>
      </w:r>
      <w:r>
        <w:rPr>
          <w:rFonts w:hint="cs"/>
          <w:rtl/>
        </w:rPr>
        <w:t xml:space="preserve"> (</w:t>
      </w:r>
      <w:r w:rsidRPr="00A11514">
        <w:rPr>
          <w:rFonts w:hint="eastAsia"/>
          <w:rtl/>
        </w:rPr>
        <w:t>ע</w:t>
      </w:r>
      <w:r w:rsidRPr="00A11514">
        <w:rPr>
          <w:rtl/>
        </w:rPr>
        <w:t>"</w:t>
      </w:r>
      <w:r w:rsidRPr="00A11514">
        <w:rPr>
          <w:rFonts w:hint="eastAsia"/>
          <w:rtl/>
        </w:rPr>
        <w:t>פ</w:t>
      </w:r>
      <w:r w:rsidRPr="00A11514">
        <w:rPr>
          <w:rtl/>
        </w:rPr>
        <w:t xml:space="preserve"> 5841/14 </w:t>
      </w:r>
      <w:r w:rsidRPr="00EF63A9">
        <w:rPr>
          <w:rFonts w:ascii="Century" w:hAnsi="Century" w:cs="Miriam" w:hint="eastAsia"/>
          <w:b/>
          <w:spacing w:val="0"/>
          <w:szCs w:val="24"/>
          <w:rtl/>
        </w:rPr>
        <w:t>מדינת</w:t>
      </w:r>
      <w:r w:rsidRPr="00EF63A9">
        <w:rPr>
          <w:rFonts w:ascii="Century" w:hAnsi="Century" w:cs="Miriam"/>
          <w:b/>
          <w:spacing w:val="0"/>
          <w:szCs w:val="24"/>
          <w:rtl/>
        </w:rPr>
        <w:t xml:space="preserve"> </w:t>
      </w:r>
      <w:r w:rsidRPr="00EF63A9">
        <w:rPr>
          <w:rFonts w:ascii="Century" w:hAnsi="Century" w:cs="Miriam" w:hint="eastAsia"/>
          <w:b/>
          <w:spacing w:val="0"/>
          <w:szCs w:val="24"/>
          <w:rtl/>
        </w:rPr>
        <w:t>ישראל</w:t>
      </w:r>
      <w:r w:rsidRPr="00EF63A9">
        <w:rPr>
          <w:rFonts w:ascii="Century" w:hAnsi="Century" w:cs="Miriam"/>
          <w:b/>
          <w:spacing w:val="0"/>
          <w:szCs w:val="24"/>
          <w:rtl/>
        </w:rPr>
        <w:t xml:space="preserve"> </w:t>
      </w:r>
      <w:r w:rsidRPr="00EF63A9">
        <w:rPr>
          <w:rFonts w:ascii="Century" w:hAnsi="Century" w:cs="Miriam" w:hint="eastAsia"/>
          <w:b/>
          <w:spacing w:val="0"/>
          <w:szCs w:val="24"/>
          <w:rtl/>
        </w:rPr>
        <w:t>נ</w:t>
      </w:r>
      <w:r w:rsidRPr="00EF63A9">
        <w:rPr>
          <w:rFonts w:ascii="Century" w:hAnsi="Century" w:cs="Miriam"/>
          <w:b/>
          <w:spacing w:val="0"/>
          <w:szCs w:val="24"/>
          <w:rtl/>
        </w:rPr>
        <w:t xml:space="preserve">' </w:t>
      </w:r>
      <w:proofErr w:type="spellStart"/>
      <w:r w:rsidRPr="00EF63A9">
        <w:rPr>
          <w:rFonts w:ascii="Century" w:hAnsi="Century" w:cs="Miriam" w:hint="eastAsia"/>
          <w:b/>
          <w:spacing w:val="0"/>
          <w:szCs w:val="24"/>
          <w:rtl/>
        </w:rPr>
        <w:t>ארקאן</w:t>
      </w:r>
      <w:proofErr w:type="spellEnd"/>
      <w:r>
        <w:rPr>
          <w:rFonts w:hint="cs"/>
          <w:rtl/>
        </w:rPr>
        <w:t>, פסקה 21</w:t>
      </w:r>
      <w:r w:rsidRPr="00A11514">
        <w:rPr>
          <w:rtl/>
        </w:rPr>
        <w:t xml:space="preserve"> (</w:t>
      </w:r>
      <w:r>
        <w:rPr>
          <w:rFonts w:hint="cs"/>
          <w:rtl/>
        </w:rPr>
        <w:t>8</w:t>
      </w:r>
      <w:r w:rsidRPr="00A11514">
        <w:rPr>
          <w:rtl/>
        </w:rPr>
        <w:t>.</w:t>
      </w:r>
      <w:r>
        <w:rPr>
          <w:rFonts w:hint="cs"/>
          <w:rtl/>
        </w:rPr>
        <w:t>7</w:t>
      </w:r>
      <w:r w:rsidRPr="00A11514">
        <w:rPr>
          <w:rtl/>
        </w:rPr>
        <w:t>.2015)</w:t>
      </w:r>
      <w:r>
        <w:rPr>
          <w:rFonts w:hint="cs"/>
          <w:rtl/>
        </w:rPr>
        <w:t>).</w:t>
      </w:r>
    </w:p>
    <w:p w:rsidR="00292D3F" w:rsidRDefault="00292D3F" w:rsidP="00292D3F">
      <w:pPr>
        <w:pStyle w:val="Ruller41"/>
        <w:rPr>
          <w:rtl/>
        </w:rPr>
      </w:pPr>
    </w:p>
    <w:p w:rsidR="00292D3F" w:rsidRDefault="00292D3F" w:rsidP="00292D3F">
      <w:pPr>
        <w:pStyle w:val="Ruller4"/>
      </w:pPr>
      <w:r>
        <w:rPr>
          <w:rFonts w:hint="cs"/>
          <w:rtl/>
        </w:rPr>
        <w:t xml:space="preserve">בענייננו, העובדות והנסיבות המפורטות בכתב האישום המתוקן אכן מגוללות במידת מה את מערכת היחסים שבין המערער למנוח עובר למעשה ההמתה. כך, עולה כי המערער אסף לביתו את המנוח וסיפק לו קורת גג, מיטה ללון בה ואף העניק לו סכומי כסף לשימושו מעת לעת. ואולם, תחת הטובה שעשה עמו המערער </w:t>
      </w:r>
      <w:r>
        <w:rPr>
          <w:rtl/>
        </w:rPr>
        <w:t>–</w:t>
      </w:r>
      <w:r>
        <w:rPr>
          <w:rFonts w:hint="cs"/>
          <w:rtl/>
        </w:rPr>
        <w:t xml:space="preserve"> המנוח גמל לו רעה, עת מאן להתפנות מהדירה עד כי נאלצה רעיית המערער לעזוב את הדירה בעצמה, וגם לאחר מכן התמיד בסירובו ונותר בדירה שלא ברשות. על רקע הסכסוך, החליט המערער לרצוח את המנוח.</w:t>
      </w:r>
    </w:p>
    <w:p w:rsidR="00292D3F" w:rsidRDefault="00292D3F" w:rsidP="00292D3F">
      <w:pPr>
        <w:pStyle w:val="Ruller4"/>
        <w:numPr>
          <w:ilvl w:val="0"/>
          <w:numId w:val="0"/>
        </w:numPr>
        <w:rPr>
          <w:rtl/>
        </w:rPr>
      </w:pPr>
    </w:p>
    <w:p w:rsidR="00292D3F" w:rsidRDefault="00292D3F" w:rsidP="00292D3F">
      <w:pPr>
        <w:pStyle w:val="Ruller4"/>
        <w:numPr>
          <w:ilvl w:val="0"/>
          <w:numId w:val="0"/>
        </w:numPr>
        <w:rPr>
          <w:rtl/>
        </w:rPr>
      </w:pPr>
      <w:r>
        <w:rPr>
          <w:rtl/>
        </w:rPr>
        <w:tab/>
      </w:r>
      <w:r>
        <w:rPr>
          <w:rFonts w:hint="cs"/>
          <w:rtl/>
        </w:rPr>
        <w:t xml:space="preserve">אלא </w:t>
      </w:r>
      <w:r w:rsidRPr="00A34F6E">
        <w:rPr>
          <w:rFonts w:ascii="Century" w:hAnsi="Century" w:hint="cs"/>
          <w:sz w:val="22"/>
          <w:rtl/>
        </w:rPr>
        <w:t>שנותר מרחק של ממש בין עובדות ונסיבות אלו כפי שתוארו בכתב האישום המתוקן לבין קביעות בית משפט קמא כי הרצח בוצע "כמעשה של ייאוש", כאשר התנהלות המנוח הובילה את המערער "לאובדן עשתונות" עד שרצח את המנוח "מתוך העדר מוחלט של שיקול דעת". על כן, אף שבצדק התחשב בית משפט קמא במסגרת קביעת מתחם העונש במערכת היחסים שבין המערער למנוח, הוא העניק לה משקל רב יתר על המידה בהסתמך על עובדות ונסיבות הנעדרות עיגון בכתב האיש</w:t>
      </w:r>
      <w:r>
        <w:rPr>
          <w:rFonts w:hint="cs"/>
          <w:rtl/>
        </w:rPr>
        <w:t>ום המתוקן.</w:t>
      </w:r>
    </w:p>
    <w:p w:rsidR="00292D3F" w:rsidRDefault="00292D3F" w:rsidP="00292D3F">
      <w:pPr>
        <w:pStyle w:val="Ruller4"/>
        <w:numPr>
          <w:ilvl w:val="0"/>
          <w:numId w:val="0"/>
        </w:numPr>
        <w:rPr>
          <w:rtl/>
        </w:rPr>
      </w:pPr>
    </w:p>
    <w:p w:rsidR="00292D3F" w:rsidRDefault="00292D3F" w:rsidP="00327ABE">
      <w:pPr>
        <w:pStyle w:val="Ruller4"/>
        <w:rPr>
          <w:rtl/>
        </w:rPr>
      </w:pPr>
      <w:r>
        <w:rPr>
          <w:rFonts w:hint="cs"/>
          <w:rtl/>
        </w:rPr>
        <w:t xml:space="preserve">זאת ועוד, אין חולק כי "כפיות הטובה" של המנוח כלפי המערער ניצבה ברקע לרצח באופן כזה או אחר. אלא שהמקרה שלפנינו, ובייחוד </w:t>
      </w:r>
      <w:r>
        <w:rPr>
          <w:rtl/>
        </w:rPr>
        <w:t>–</w:t>
      </w:r>
      <w:r>
        <w:rPr>
          <w:rFonts w:hint="cs"/>
          <w:rtl/>
        </w:rPr>
        <w:t xml:space="preserve"> הסכסוך שקדם לרצח ומידת השפעתו על הרוצח כפי שאלו משתקפים מבין </w:t>
      </w:r>
      <w:r w:rsidR="00327ABE">
        <w:rPr>
          <w:rFonts w:hint="cs"/>
          <w:rtl/>
        </w:rPr>
        <w:t>שורות</w:t>
      </w:r>
      <w:r>
        <w:rPr>
          <w:rFonts w:hint="cs"/>
          <w:rtl/>
        </w:rPr>
        <w:t xml:space="preserve"> כתב האישום המתוקן </w:t>
      </w:r>
      <w:r>
        <w:rPr>
          <w:rtl/>
        </w:rPr>
        <w:t>–</w:t>
      </w:r>
      <w:r>
        <w:rPr>
          <w:rFonts w:hint="cs"/>
          <w:rtl/>
        </w:rPr>
        <w:t xml:space="preserve"> לא מצדיקים הקלה כה משמעותית במתחם העונש ההולם. נסיבות הסכסוך שבין המערער למנוח, כפי שהן באות לידי ביטוי בכתב האישום המתוקן, אינן כה ייחודיות עד כדי כך שיש בהן כדי להצדיק מתחם עונש הולם כה נמוך בהשוואה למקרים דומים (ראו והשוו ל-</w:t>
      </w:r>
      <w:r w:rsidRPr="00B026D7">
        <w:rPr>
          <w:rFonts w:hint="eastAsia"/>
          <w:rtl/>
        </w:rPr>
        <w:t>ע</w:t>
      </w:r>
      <w:r w:rsidRPr="00B026D7">
        <w:rPr>
          <w:rtl/>
        </w:rPr>
        <w:t>"</w:t>
      </w:r>
      <w:r w:rsidRPr="00B026D7">
        <w:rPr>
          <w:rFonts w:hint="eastAsia"/>
          <w:rtl/>
        </w:rPr>
        <w:t>פ</w:t>
      </w:r>
      <w:r w:rsidRPr="00B026D7">
        <w:rPr>
          <w:rtl/>
        </w:rPr>
        <w:t xml:space="preserve"> 4066/22 </w:t>
      </w:r>
      <w:r w:rsidRPr="0065675C">
        <w:rPr>
          <w:rFonts w:ascii="Century" w:hAnsi="Century" w:cs="Miriam" w:hint="eastAsia"/>
          <w:b/>
          <w:spacing w:val="0"/>
          <w:sz w:val="22"/>
          <w:szCs w:val="24"/>
          <w:rtl/>
        </w:rPr>
        <w:t>ז</w:t>
      </w:r>
      <w:r w:rsidRPr="0065675C">
        <w:rPr>
          <w:rFonts w:ascii="Century" w:hAnsi="Century" w:cs="Miriam"/>
          <w:b/>
          <w:spacing w:val="0"/>
          <w:sz w:val="22"/>
          <w:szCs w:val="24"/>
          <w:rtl/>
        </w:rPr>
        <w:t>'</w:t>
      </w:r>
      <w:r w:rsidRPr="0065675C">
        <w:rPr>
          <w:rFonts w:ascii="Century" w:hAnsi="Century" w:cs="Miriam" w:hint="eastAsia"/>
          <w:b/>
          <w:spacing w:val="0"/>
          <w:sz w:val="22"/>
          <w:szCs w:val="24"/>
          <w:rtl/>
        </w:rPr>
        <w:t>ירנוב</w:t>
      </w:r>
      <w:r w:rsidRPr="0065675C">
        <w:rPr>
          <w:rFonts w:ascii="Century" w:hAnsi="Century" w:cs="Miriam"/>
          <w:b/>
          <w:spacing w:val="0"/>
          <w:sz w:val="22"/>
          <w:szCs w:val="24"/>
          <w:rtl/>
        </w:rPr>
        <w:t xml:space="preserve"> </w:t>
      </w:r>
      <w:r w:rsidRPr="0065675C">
        <w:rPr>
          <w:rFonts w:ascii="Century" w:hAnsi="Century" w:cs="Miriam" w:hint="eastAsia"/>
          <w:b/>
          <w:spacing w:val="0"/>
          <w:sz w:val="22"/>
          <w:szCs w:val="24"/>
          <w:rtl/>
        </w:rPr>
        <w:t>נ</w:t>
      </w:r>
      <w:r w:rsidRPr="0065675C">
        <w:rPr>
          <w:rFonts w:ascii="Century" w:hAnsi="Century" w:cs="Miriam"/>
          <w:b/>
          <w:spacing w:val="0"/>
          <w:sz w:val="22"/>
          <w:szCs w:val="24"/>
          <w:rtl/>
        </w:rPr>
        <w:t xml:space="preserve">' </w:t>
      </w:r>
      <w:r w:rsidRPr="0065675C">
        <w:rPr>
          <w:rFonts w:ascii="Century" w:hAnsi="Century" w:cs="Miriam" w:hint="eastAsia"/>
          <w:b/>
          <w:spacing w:val="0"/>
          <w:sz w:val="22"/>
          <w:szCs w:val="24"/>
          <w:rtl/>
        </w:rPr>
        <w:t>מדינת</w:t>
      </w:r>
      <w:r w:rsidRPr="0065675C">
        <w:rPr>
          <w:rFonts w:ascii="Century" w:hAnsi="Century" w:cs="Miriam"/>
          <w:b/>
          <w:spacing w:val="0"/>
          <w:sz w:val="22"/>
          <w:szCs w:val="24"/>
          <w:rtl/>
        </w:rPr>
        <w:t xml:space="preserve"> </w:t>
      </w:r>
      <w:r w:rsidRPr="0065675C">
        <w:rPr>
          <w:rFonts w:ascii="Century" w:hAnsi="Century" w:cs="Miriam" w:hint="eastAsia"/>
          <w:b/>
          <w:spacing w:val="0"/>
          <w:sz w:val="22"/>
          <w:szCs w:val="24"/>
          <w:rtl/>
        </w:rPr>
        <w:t>ישראל</w:t>
      </w:r>
      <w:r w:rsidRPr="0065675C">
        <w:rPr>
          <w:rFonts w:ascii="Century" w:hAnsi="Century" w:cs="Miriam"/>
          <w:b/>
          <w:spacing w:val="0"/>
          <w:sz w:val="22"/>
          <w:szCs w:val="24"/>
          <w:rtl/>
        </w:rPr>
        <w:t xml:space="preserve"> </w:t>
      </w:r>
      <w:r w:rsidRPr="00B026D7">
        <w:rPr>
          <w:rtl/>
        </w:rPr>
        <w:t>(25.</w:t>
      </w:r>
      <w:r>
        <w:rPr>
          <w:rFonts w:hint="cs"/>
          <w:rtl/>
        </w:rPr>
        <w:t>6</w:t>
      </w:r>
      <w:r w:rsidRPr="00B026D7">
        <w:rPr>
          <w:rtl/>
        </w:rPr>
        <w:t>.2023)</w:t>
      </w:r>
      <w:r>
        <w:rPr>
          <w:rFonts w:hint="cs"/>
          <w:rtl/>
        </w:rPr>
        <w:t xml:space="preserve"> (להלן: עניין </w:t>
      </w:r>
      <w:r w:rsidRPr="000534F9">
        <w:rPr>
          <w:rFonts w:ascii="Century" w:hAnsi="Century" w:cs="Miriam" w:hint="eastAsia"/>
          <w:b/>
          <w:spacing w:val="0"/>
          <w:sz w:val="22"/>
          <w:szCs w:val="24"/>
          <w:rtl/>
        </w:rPr>
        <w:t>ז</w:t>
      </w:r>
      <w:r w:rsidRPr="000534F9">
        <w:rPr>
          <w:rFonts w:ascii="Century" w:hAnsi="Century" w:cs="Miriam"/>
          <w:b/>
          <w:spacing w:val="0"/>
          <w:sz w:val="22"/>
          <w:szCs w:val="24"/>
          <w:rtl/>
        </w:rPr>
        <w:t>'</w:t>
      </w:r>
      <w:r w:rsidRPr="000534F9">
        <w:rPr>
          <w:rFonts w:ascii="Century" w:hAnsi="Century" w:cs="Miriam" w:hint="eastAsia"/>
          <w:b/>
          <w:spacing w:val="0"/>
          <w:sz w:val="22"/>
          <w:szCs w:val="24"/>
          <w:rtl/>
        </w:rPr>
        <w:t>ירנוב</w:t>
      </w:r>
      <w:r>
        <w:rPr>
          <w:rFonts w:hint="cs"/>
          <w:rtl/>
        </w:rPr>
        <w:t xml:space="preserve">), שבו נכנס המקרה לעבירת הרצח בנסיבות מחמירות, ועל כן נגזר עונש מאסר עולם חובה כך שנסיבות דומות לא הובילו להקלה בעונש). </w:t>
      </w:r>
    </w:p>
    <w:p w:rsidR="00292D3F" w:rsidRDefault="00292D3F" w:rsidP="00292D3F">
      <w:pPr>
        <w:pStyle w:val="Ruller41"/>
        <w:rPr>
          <w:rtl/>
        </w:rPr>
      </w:pPr>
    </w:p>
    <w:p w:rsidR="00292D3F" w:rsidRPr="00314507" w:rsidRDefault="00292D3F" w:rsidP="00292D3F">
      <w:pPr>
        <w:pStyle w:val="Ruller41"/>
        <w:rPr>
          <w:rFonts w:ascii="Century" w:hAnsi="Century" w:cs="Miriam"/>
          <w:b/>
          <w:spacing w:val="0"/>
          <w:szCs w:val="24"/>
        </w:rPr>
      </w:pPr>
      <w:r>
        <w:rPr>
          <w:rFonts w:ascii="Century" w:hAnsi="Century" w:cs="Miriam"/>
          <w:b/>
          <w:spacing w:val="0"/>
          <w:szCs w:val="24"/>
          <w:rtl/>
        </w:rPr>
        <w:tab/>
      </w:r>
      <w:r w:rsidRPr="00314507">
        <w:rPr>
          <w:rFonts w:ascii="Century" w:hAnsi="Century" w:cs="Miriam" w:hint="cs"/>
          <w:b/>
          <w:spacing w:val="0"/>
          <w:szCs w:val="24"/>
          <w:rtl/>
        </w:rPr>
        <w:t>מכלול נסיבות ביצוע העבירה</w:t>
      </w:r>
    </w:p>
    <w:p w:rsidR="00292D3F" w:rsidRDefault="00292D3F" w:rsidP="00292D3F">
      <w:pPr>
        <w:pStyle w:val="Ruller4"/>
        <w:numPr>
          <w:ilvl w:val="0"/>
          <w:numId w:val="0"/>
        </w:numPr>
        <w:rPr>
          <w:rtl/>
        </w:rPr>
      </w:pPr>
    </w:p>
    <w:p w:rsidR="00292D3F" w:rsidRDefault="00292D3F" w:rsidP="00292D3F">
      <w:pPr>
        <w:pStyle w:val="Ruller4"/>
        <w:rPr>
          <w:rtl/>
        </w:rPr>
      </w:pPr>
      <w:r>
        <w:rPr>
          <w:rFonts w:hint="cs"/>
          <w:rtl/>
        </w:rPr>
        <w:t xml:space="preserve">גם בהתחשב במערכת היחסים שבין המערער למנוח, במשקל הראוי לכך, סיבות אלו אינן בעלות משקל מכריע אלא הן נבחנות לצד יתר נסיבות ביצוע העבירה. כתב האישום המתוקן והמוסכם, מתאר נסיבות </w:t>
      </w:r>
      <w:r w:rsidRPr="00C05D64">
        <w:rPr>
          <w:rFonts w:ascii="Century" w:hAnsi="Century" w:cs="Miriam" w:hint="cs"/>
          <w:b/>
          <w:spacing w:val="0"/>
          <w:sz w:val="22"/>
          <w:szCs w:val="24"/>
          <w:rtl/>
        </w:rPr>
        <w:t>חמורות</w:t>
      </w:r>
      <w:r w:rsidRPr="00C05D64">
        <w:rPr>
          <w:rFonts w:hint="cs"/>
          <w:rtl/>
        </w:rPr>
        <w:t xml:space="preserve"> </w:t>
      </w:r>
      <w:r>
        <w:rPr>
          <w:rFonts w:hint="cs"/>
          <w:rtl/>
        </w:rPr>
        <w:t xml:space="preserve">בביצוע מעשה ההמתה, אשר גם בהתחשב במצוקת המערער שהובילה אותו כביכול לרצח המנוח, ראוי כי ישפיעו באופן משמעותי על מתחם העונש ההולם. </w:t>
      </w:r>
    </w:p>
    <w:p w:rsidR="00292D3F" w:rsidRDefault="00292D3F" w:rsidP="00292D3F">
      <w:pPr>
        <w:pStyle w:val="Ruller41"/>
        <w:rPr>
          <w:rtl/>
        </w:rPr>
      </w:pPr>
    </w:p>
    <w:p w:rsidR="00292D3F" w:rsidRDefault="00292D3F" w:rsidP="00292D3F">
      <w:pPr>
        <w:pStyle w:val="Ruller41"/>
        <w:rPr>
          <w:rtl/>
        </w:rPr>
      </w:pPr>
      <w:r>
        <w:rPr>
          <w:rtl/>
        </w:rPr>
        <w:tab/>
      </w:r>
      <w:r>
        <w:rPr>
          <w:rFonts w:hint="cs"/>
          <w:rtl/>
        </w:rPr>
        <w:t xml:space="preserve">כמתואר בכתב האישום המתוקן, המערער פנה ועלה לדירתו ביום 21.8.2021 כדי להתעמת עם המנוח על רקע סירובו להתפנות מהדירה וכדי לפעול להרחקתו מהדירה. בדרך זו בחר המערער, חלף פניה לרשויות אכיפת החוק כדי שיסייעו לו בסילוק האורח שאינו רצוי עוד בדירתו (ראו והשוו: </w:t>
      </w:r>
      <w:r w:rsidRPr="004F1692">
        <w:rPr>
          <w:rtl/>
        </w:rPr>
        <w:t xml:space="preserve">ע"פ 1405/16 </w:t>
      </w:r>
      <w:r w:rsidRPr="00DE5C01">
        <w:rPr>
          <w:rFonts w:ascii="Century" w:hAnsi="Century" w:cs="Miriam"/>
          <w:b/>
          <w:spacing w:val="0"/>
          <w:szCs w:val="24"/>
          <w:rtl/>
        </w:rPr>
        <w:t xml:space="preserve">מדינת ישראל נ' </w:t>
      </w:r>
      <w:proofErr w:type="spellStart"/>
      <w:r w:rsidRPr="00DE5C01">
        <w:rPr>
          <w:rFonts w:ascii="Century" w:hAnsi="Century" w:cs="Miriam"/>
          <w:b/>
          <w:spacing w:val="0"/>
          <w:szCs w:val="24"/>
          <w:rtl/>
        </w:rPr>
        <w:t>טורשאן</w:t>
      </w:r>
      <w:proofErr w:type="spellEnd"/>
      <w:r>
        <w:rPr>
          <w:rFonts w:hint="cs"/>
          <w:rtl/>
        </w:rPr>
        <w:t>, פסקה 12</w:t>
      </w:r>
      <w:r w:rsidRPr="004F1692">
        <w:rPr>
          <w:rtl/>
        </w:rPr>
        <w:t xml:space="preserve"> (19.</w:t>
      </w:r>
      <w:r>
        <w:rPr>
          <w:rFonts w:hint="cs"/>
          <w:rtl/>
        </w:rPr>
        <w:t>4</w:t>
      </w:r>
      <w:r w:rsidRPr="004F1692">
        <w:rPr>
          <w:rtl/>
        </w:rPr>
        <w:t>.2016)</w:t>
      </w:r>
      <w:r>
        <w:rPr>
          <w:rFonts w:hint="cs"/>
          <w:rtl/>
        </w:rPr>
        <w:t xml:space="preserve">). בעיצומו של הוויכוח בין המערער לבין המנוח בדירה, המערער ניגש לכספת, הוציא את האקדח שהחזיק מתוקף עבודתו כמאבטח, דרך אותו והניחו מתחת לכרית המיטה. אמנם לפי כתב האישום המתוקן, רק בהמשך גמלה בליבו ההחלטה להמית את המנוח, אולם מובן כי לא לחינם הכין את האקדח מבעוד מועד </w:t>
      </w:r>
      <w:r>
        <w:rPr>
          <w:rtl/>
        </w:rPr>
        <w:t>–</w:t>
      </w:r>
      <w:r>
        <w:rPr>
          <w:rFonts w:hint="cs"/>
          <w:rtl/>
        </w:rPr>
        <w:t xml:space="preserve"> טעון ודרוך, מוכן ומזומן לאפשרות כי הוויכוח יסלים. או אז, ומשהמנוח דבק בסירובו לעזוב את הדירה, החליט המערער במודע </w:t>
      </w:r>
      <w:r w:rsidRPr="007A3B00">
        <w:rPr>
          <w:rFonts w:ascii="Century" w:hAnsi="Century" w:cs="Miriam" w:hint="cs"/>
          <w:b/>
          <w:spacing w:val="0"/>
          <w:szCs w:val="24"/>
          <w:rtl/>
        </w:rPr>
        <w:t>ובכוונה</w:t>
      </w:r>
      <w:r w:rsidRPr="007A3B00">
        <w:rPr>
          <w:rFonts w:hint="cs"/>
          <w:rtl/>
        </w:rPr>
        <w:t xml:space="preserve"> </w:t>
      </w:r>
      <w:r>
        <w:rPr>
          <w:rFonts w:hint="cs"/>
          <w:rtl/>
        </w:rPr>
        <w:t xml:space="preserve">להמית את המנוח, וזאת תחת האפשרות לצאת מהדירה ללא פגע גם בשלב זה (ראו והשוו: עניין </w:t>
      </w:r>
      <w:r w:rsidRPr="009C2294">
        <w:rPr>
          <w:rFonts w:ascii="Century" w:hAnsi="Century" w:cs="Miriam" w:hint="eastAsia"/>
          <w:b/>
          <w:spacing w:val="0"/>
          <w:szCs w:val="24"/>
          <w:rtl/>
        </w:rPr>
        <w:t>קאדר</w:t>
      </w:r>
      <w:r>
        <w:rPr>
          <w:rFonts w:hint="cs"/>
          <w:rtl/>
        </w:rPr>
        <w:t xml:space="preserve">, פסקה 28). </w:t>
      </w:r>
    </w:p>
    <w:p w:rsidR="00292D3F" w:rsidRDefault="00292D3F" w:rsidP="00292D3F">
      <w:pPr>
        <w:pStyle w:val="Ruller41"/>
        <w:rPr>
          <w:rtl/>
        </w:rPr>
      </w:pPr>
    </w:p>
    <w:p w:rsidR="00292D3F" w:rsidRDefault="00292D3F" w:rsidP="00292D3F">
      <w:pPr>
        <w:pStyle w:val="Ruller41"/>
        <w:rPr>
          <w:rtl/>
        </w:rPr>
      </w:pPr>
      <w:r>
        <w:rPr>
          <w:rtl/>
        </w:rPr>
        <w:tab/>
      </w:r>
      <w:r>
        <w:rPr>
          <w:rFonts w:hint="cs"/>
          <w:rtl/>
        </w:rPr>
        <w:t xml:space="preserve">מרגע זה ואילך, המערער התנהג בקור-רוח מצמית, כאשר הצמיד את קנה האקדח למצחו של המנוח והציע לו להתפלל בטרם יירה בו. משהבהיר המנוח כי אינו מעוניין להתפלל, ירה בו המערער במרכז המצח וגרם לפציעתו האנושה. גם בשלב זה, </w:t>
      </w:r>
      <w:r>
        <w:rPr>
          <w:rFonts w:hint="cs"/>
          <w:rtl/>
        </w:rPr>
        <w:lastRenderedPageBreak/>
        <w:t>בעוד המנוח גוסס ומתבוסס בדמו, המערער לא גילה כל חמלה כלפי המנוח ונמנע במשך דקות ארוכות מלהזעיק את כוחות ההצלה, אשר ייתכן שהיו עשויים להילחם על חייו ולהצילם (</w:t>
      </w:r>
      <w:r w:rsidRPr="002A0D70">
        <w:rPr>
          <w:rFonts w:hint="eastAsia"/>
          <w:rtl/>
        </w:rPr>
        <w:t>ע</w:t>
      </w:r>
      <w:r w:rsidRPr="002A0D70">
        <w:rPr>
          <w:rtl/>
        </w:rPr>
        <w:t>"</w:t>
      </w:r>
      <w:r w:rsidRPr="002A0D70">
        <w:rPr>
          <w:rFonts w:hint="eastAsia"/>
          <w:rtl/>
        </w:rPr>
        <w:t>פ</w:t>
      </w:r>
      <w:r w:rsidRPr="002A0D70">
        <w:rPr>
          <w:rtl/>
        </w:rPr>
        <w:t xml:space="preserve"> 3965/22 </w:t>
      </w:r>
      <w:r w:rsidRPr="002A0D70">
        <w:rPr>
          <w:rFonts w:ascii="Century" w:hAnsi="Century" w:cs="Miriam" w:hint="eastAsia"/>
          <w:b/>
          <w:spacing w:val="0"/>
          <w:szCs w:val="24"/>
          <w:rtl/>
        </w:rPr>
        <w:t>טל</w:t>
      </w:r>
      <w:r w:rsidRPr="002A0D70">
        <w:rPr>
          <w:rFonts w:ascii="Century" w:hAnsi="Century" w:cs="Miriam"/>
          <w:b/>
          <w:spacing w:val="0"/>
          <w:szCs w:val="24"/>
          <w:rtl/>
        </w:rPr>
        <w:t xml:space="preserve"> </w:t>
      </w:r>
      <w:r w:rsidRPr="002A0D70">
        <w:rPr>
          <w:rFonts w:ascii="Century" w:hAnsi="Century" w:cs="Miriam" w:hint="eastAsia"/>
          <w:b/>
          <w:spacing w:val="0"/>
          <w:szCs w:val="24"/>
          <w:rtl/>
        </w:rPr>
        <w:t>נ</w:t>
      </w:r>
      <w:r w:rsidRPr="002A0D70">
        <w:rPr>
          <w:rFonts w:ascii="Century" w:hAnsi="Century" w:cs="Miriam"/>
          <w:b/>
          <w:spacing w:val="0"/>
          <w:szCs w:val="24"/>
          <w:rtl/>
        </w:rPr>
        <w:t xml:space="preserve">' </w:t>
      </w:r>
      <w:r w:rsidRPr="002A0D70">
        <w:rPr>
          <w:rFonts w:ascii="Century" w:hAnsi="Century" w:cs="Miriam" w:hint="eastAsia"/>
          <w:b/>
          <w:spacing w:val="0"/>
          <w:szCs w:val="24"/>
          <w:rtl/>
        </w:rPr>
        <w:t>מדינת</w:t>
      </w:r>
      <w:r w:rsidRPr="002A0D70">
        <w:rPr>
          <w:rFonts w:ascii="Century" w:hAnsi="Century" w:cs="Miriam"/>
          <w:b/>
          <w:spacing w:val="0"/>
          <w:szCs w:val="24"/>
          <w:rtl/>
        </w:rPr>
        <w:t xml:space="preserve"> </w:t>
      </w:r>
      <w:r w:rsidRPr="002A0D70">
        <w:rPr>
          <w:rFonts w:ascii="Century" w:hAnsi="Century" w:cs="Miriam" w:hint="eastAsia"/>
          <w:b/>
          <w:spacing w:val="0"/>
          <w:szCs w:val="24"/>
          <w:rtl/>
        </w:rPr>
        <w:t>ישראל</w:t>
      </w:r>
      <w:r>
        <w:rPr>
          <w:rFonts w:hint="cs"/>
          <w:rtl/>
        </w:rPr>
        <w:t>, פסקה 24</w:t>
      </w:r>
      <w:r w:rsidRPr="002A0D70">
        <w:rPr>
          <w:rtl/>
        </w:rPr>
        <w:t xml:space="preserve"> (30.</w:t>
      </w:r>
      <w:r>
        <w:rPr>
          <w:rFonts w:hint="cs"/>
          <w:rtl/>
        </w:rPr>
        <w:t>3</w:t>
      </w:r>
      <w:r w:rsidRPr="002A0D70">
        <w:rPr>
          <w:rtl/>
        </w:rPr>
        <w:t>.2023)</w:t>
      </w:r>
      <w:r>
        <w:rPr>
          <w:rFonts w:hint="cs"/>
          <w:rtl/>
        </w:rPr>
        <w:t xml:space="preserve">). בדקות יקרות אלו בהן חייו של המנוח על בלימה, המערער פנה לטשטש את עקבותיו ולשבש את זירת הרצח כאשר הניח סכין סמוך למקום בו שכב המנוח על המיטה, בכדי להציג מצג שווא שלפיו המנוח איים עליו כביכול עובר לרצח (ראו והשוו: </w:t>
      </w:r>
      <w:r w:rsidR="00DA6585">
        <w:rPr>
          <w:rFonts w:hint="cs"/>
          <w:rtl/>
        </w:rPr>
        <w:t>פסק דיני ב-</w:t>
      </w:r>
      <w:r w:rsidRPr="005D4A04">
        <w:rPr>
          <w:rFonts w:hint="eastAsia"/>
          <w:rtl/>
        </w:rPr>
        <w:t>תפ</w:t>
      </w:r>
      <w:r w:rsidRPr="005D4A04">
        <w:rPr>
          <w:rtl/>
        </w:rPr>
        <w:t>"</w:t>
      </w:r>
      <w:r w:rsidRPr="005D4A04">
        <w:rPr>
          <w:rFonts w:hint="eastAsia"/>
          <w:rtl/>
        </w:rPr>
        <w:t>ח</w:t>
      </w:r>
      <w:r w:rsidRPr="005D4A04">
        <w:rPr>
          <w:rtl/>
        </w:rPr>
        <w:t xml:space="preserve"> (</w:t>
      </w:r>
      <w:r w:rsidRPr="005D4A04">
        <w:rPr>
          <w:rFonts w:hint="eastAsia"/>
          <w:rtl/>
        </w:rPr>
        <w:t>מחוזי</w:t>
      </w:r>
      <w:r w:rsidRPr="005D4A04">
        <w:rPr>
          <w:rtl/>
        </w:rPr>
        <w:t xml:space="preserve"> </w:t>
      </w:r>
      <w:r w:rsidRPr="005D4A04">
        <w:rPr>
          <w:rFonts w:hint="eastAsia"/>
          <w:rtl/>
        </w:rPr>
        <w:t>חי</w:t>
      </w:r>
      <w:r w:rsidRPr="005D4A04">
        <w:rPr>
          <w:rtl/>
        </w:rPr>
        <w:t xml:space="preserve">') 28677-01-10 </w:t>
      </w:r>
      <w:r w:rsidRPr="005D4A04">
        <w:rPr>
          <w:rFonts w:ascii="Century" w:hAnsi="Century" w:cs="Miriam" w:hint="eastAsia"/>
          <w:b/>
          <w:spacing w:val="0"/>
          <w:szCs w:val="24"/>
          <w:rtl/>
        </w:rPr>
        <w:t>מדינת</w:t>
      </w:r>
      <w:r w:rsidRPr="005D4A04">
        <w:rPr>
          <w:rFonts w:ascii="Century" w:hAnsi="Century" w:cs="Miriam"/>
          <w:b/>
          <w:spacing w:val="0"/>
          <w:szCs w:val="24"/>
          <w:rtl/>
        </w:rPr>
        <w:t xml:space="preserve"> </w:t>
      </w:r>
      <w:r w:rsidRPr="005D4A04">
        <w:rPr>
          <w:rFonts w:ascii="Century" w:hAnsi="Century" w:cs="Miriam" w:hint="eastAsia"/>
          <w:b/>
          <w:spacing w:val="0"/>
          <w:szCs w:val="24"/>
          <w:rtl/>
        </w:rPr>
        <w:t>ישראל</w:t>
      </w:r>
      <w:r w:rsidRPr="005D4A04">
        <w:rPr>
          <w:rFonts w:ascii="Century" w:hAnsi="Century" w:cs="Miriam"/>
          <w:b/>
          <w:spacing w:val="0"/>
          <w:szCs w:val="24"/>
          <w:rtl/>
        </w:rPr>
        <w:t xml:space="preserve"> </w:t>
      </w:r>
      <w:r w:rsidRPr="005D4A04">
        <w:rPr>
          <w:rFonts w:ascii="Century" w:hAnsi="Century" w:cs="Miriam" w:hint="eastAsia"/>
          <w:b/>
          <w:spacing w:val="0"/>
          <w:szCs w:val="24"/>
          <w:rtl/>
        </w:rPr>
        <w:t>נ</w:t>
      </w:r>
      <w:r w:rsidRPr="005D4A04">
        <w:rPr>
          <w:rFonts w:ascii="Century" w:hAnsi="Century" w:cs="Miriam"/>
          <w:b/>
          <w:spacing w:val="0"/>
          <w:szCs w:val="24"/>
          <w:rtl/>
        </w:rPr>
        <w:t xml:space="preserve">' </w:t>
      </w:r>
      <w:r w:rsidRPr="005D4A04">
        <w:rPr>
          <w:rFonts w:ascii="Century" w:hAnsi="Century" w:cs="Miriam" w:hint="eastAsia"/>
          <w:b/>
          <w:spacing w:val="0"/>
          <w:szCs w:val="24"/>
          <w:rtl/>
        </w:rPr>
        <w:t>מטר</w:t>
      </w:r>
      <w:r w:rsidRPr="005D4A04">
        <w:rPr>
          <w:rtl/>
        </w:rPr>
        <w:t xml:space="preserve">, </w:t>
      </w:r>
      <w:r w:rsidRPr="005D4A04">
        <w:rPr>
          <w:rFonts w:hint="eastAsia"/>
          <w:rtl/>
        </w:rPr>
        <w:t>עמוד</w:t>
      </w:r>
      <w:r w:rsidRPr="005D4A04">
        <w:rPr>
          <w:rtl/>
        </w:rPr>
        <w:t xml:space="preserve"> 50 </w:t>
      </w:r>
      <w:r>
        <w:rPr>
          <w:rtl/>
        </w:rPr>
        <w:t>(2.10.2011)</w:t>
      </w:r>
      <w:r>
        <w:rPr>
          <w:rFonts w:hint="cs"/>
          <w:rtl/>
        </w:rPr>
        <w:t>). לבסוף, ורק לאחר שרעייתו הנחתה אותו לעשות כן, המערער התקשר למשטרה ודיווח על מעשיו.</w:t>
      </w:r>
    </w:p>
    <w:p w:rsidR="00292D3F" w:rsidRDefault="00292D3F" w:rsidP="00292D3F">
      <w:pPr>
        <w:pStyle w:val="Ruller41"/>
        <w:rPr>
          <w:rtl/>
        </w:rPr>
      </w:pPr>
    </w:p>
    <w:p w:rsidR="00292D3F" w:rsidRPr="00CF6F2D" w:rsidRDefault="00292D3F" w:rsidP="00292D3F">
      <w:pPr>
        <w:pStyle w:val="Ruller4"/>
      </w:pPr>
      <w:r>
        <w:rPr>
          <w:rFonts w:hint="cs"/>
          <w:rtl/>
        </w:rPr>
        <w:t xml:space="preserve">אם כן, אף שיש להתחשב בסכסוך שבין המנוח למערער עובר לרצח, </w:t>
      </w:r>
      <w:r w:rsidRPr="00CF6F2D">
        <w:rPr>
          <w:rFonts w:hint="cs"/>
          <w:rtl/>
        </w:rPr>
        <w:t xml:space="preserve">משקלן של נסיבות אלו </w:t>
      </w:r>
      <w:r w:rsidRPr="00CF6F2D">
        <w:rPr>
          <w:rFonts w:ascii="Century" w:hAnsi="Century" w:hint="cs"/>
          <w:sz w:val="22"/>
          <w:rtl/>
        </w:rPr>
        <w:t>ניצב</w:t>
      </w:r>
      <w:r w:rsidRPr="00CF6F2D">
        <w:rPr>
          <w:rFonts w:hint="cs"/>
          <w:rtl/>
        </w:rPr>
        <w:t xml:space="preserve"> </w:t>
      </w:r>
      <w:r>
        <w:rPr>
          <w:rFonts w:hint="cs"/>
          <w:rtl/>
        </w:rPr>
        <w:t>כמכלול יחד עם</w:t>
      </w:r>
      <w:r w:rsidRPr="00CF6F2D">
        <w:rPr>
          <w:rFonts w:hint="cs"/>
          <w:rtl/>
        </w:rPr>
        <w:t xml:space="preserve"> יתר נסיבות ביצוע העבירה </w:t>
      </w:r>
      <w:r w:rsidRPr="00CF6F2D">
        <w:rPr>
          <w:rtl/>
        </w:rPr>
        <w:t>–</w:t>
      </w:r>
      <w:r w:rsidRPr="00CF6F2D">
        <w:rPr>
          <w:rFonts w:hint="cs"/>
          <w:rtl/>
        </w:rPr>
        <w:t xml:space="preserve"> עובר לרצח</w:t>
      </w:r>
      <w:r>
        <w:rPr>
          <w:rFonts w:hint="cs"/>
          <w:rtl/>
        </w:rPr>
        <w:t>,</w:t>
      </w:r>
      <w:r w:rsidRPr="00CF6F2D">
        <w:rPr>
          <w:rFonts w:hint="cs"/>
          <w:rtl/>
        </w:rPr>
        <w:t xml:space="preserve"> במהלכו ולאחריו </w:t>
      </w:r>
      <w:r w:rsidRPr="00CF6F2D">
        <w:rPr>
          <w:rtl/>
        </w:rPr>
        <w:t>–</w:t>
      </w:r>
      <w:r w:rsidRPr="00CF6F2D">
        <w:rPr>
          <w:rFonts w:hint="cs"/>
          <w:rtl/>
        </w:rPr>
        <w:t xml:space="preserve"> המלמדו</w:t>
      </w:r>
      <w:r>
        <w:rPr>
          <w:rFonts w:hint="cs"/>
          <w:rtl/>
        </w:rPr>
        <w:t xml:space="preserve">ת באופן חד-משמעי על חומרת מעשי המערער </w:t>
      </w:r>
      <w:r w:rsidRPr="00CF6F2D">
        <w:rPr>
          <w:rFonts w:hint="cs"/>
          <w:rtl/>
        </w:rPr>
        <w:t>ועל מידת אשמו.</w:t>
      </w:r>
    </w:p>
    <w:p w:rsidR="00292D3F" w:rsidRPr="00CF6F2D" w:rsidRDefault="00292D3F" w:rsidP="00292D3F">
      <w:pPr>
        <w:pStyle w:val="Ruller4"/>
        <w:numPr>
          <w:ilvl w:val="0"/>
          <w:numId w:val="0"/>
        </w:numPr>
        <w:rPr>
          <w:rtl/>
        </w:rPr>
      </w:pPr>
    </w:p>
    <w:p w:rsidR="00292D3F" w:rsidRDefault="00FD4679" w:rsidP="00292D3F">
      <w:pPr>
        <w:pStyle w:val="Ruller4"/>
      </w:pPr>
      <w:r w:rsidRPr="00FD4679">
        <w:rPr>
          <w:rFonts w:ascii="Century" w:hAnsi="Century" w:cs="Miriam" w:hint="cs"/>
          <w:b/>
          <w:spacing w:val="0"/>
          <w:sz w:val="22"/>
          <w:szCs w:val="24"/>
          <w:rtl/>
        </w:rPr>
        <w:t>לסיכום</w:t>
      </w:r>
      <w:r w:rsidRPr="00FD4679">
        <w:rPr>
          <w:rFonts w:hint="cs"/>
          <w:rtl/>
        </w:rPr>
        <w:t xml:space="preserve"> </w:t>
      </w:r>
      <w:r>
        <w:rPr>
          <w:rtl/>
        </w:rPr>
        <w:t>–</w:t>
      </w:r>
      <w:r w:rsidR="00292D3F" w:rsidRPr="000534F9">
        <w:rPr>
          <w:rtl/>
        </w:rPr>
        <w:t xml:space="preserve"> </w:t>
      </w:r>
      <w:r w:rsidR="00292D3F" w:rsidRPr="000534F9">
        <w:rPr>
          <w:rFonts w:hint="eastAsia"/>
          <w:rtl/>
        </w:rPr>
        <w:t>בעוד</w:t>
      </w:r>
      <w:r w:rsidR="00292D3F" w:rsidRPr="000534F9">
        <w:rPr>
          <w:rtl/>
        </w:rPr>
        <w:t xml:space="preserve"> </w:t>
      </w:r>
      <w:r w:rsidR="00292D3F" w:rsidRPr="000534F9">
        <w:rPr>
          <w:rFonts w:hint="eastAsia"/>
          <w:rtl/>
        </w:rPr>
        <w:t>ש</w:t>
      </w:r>
      <w:r w:rsidR="00292D3F" w:rsidRPr="00C10943">
        <w:rPr>
          <w:rFonts w:hint="cs"/>
          <w:rtl/>
        </w:rPr>
        <w:t>בדין התחשב</w:t>
      </w:r>
      <w:r w:rsidR="00292D3F" w:rsidRPr="00CF6F2D">
        <w:rPr>
          <w:rFonts w:hint="cs"/>
          <w:rtl/>
        </w:rPr>
        <w:t xml:space="preserve"> בית המשפט המחוזי בקביעת מתחם העונש בסכסוך בין המערער למנוח שקדם לרצח</w:t>
      </w:r>
      <w:r w:rsidR="00292D3F">
        <w:rPr>
          <w:rFonts w:hint="cs"/>
          <w:rtl/>
        </w:rPr>
        <w:t xml:space="preserve">, אין בנסיבות אלו כדי להצדיק את מתחם העונש </w:t>
      </w:r>
      <w:r w:rsidR="00292D3F" w:rsidRPr="008D481E">
        <w:rPr>
          <w:rFonts w:ascii="Century" w:hAnsi="Century" w:cs="Miriam" w:hint="cs"/>
          <w:b/>
          <w:spacing w:val="0"/>
          <w:sz w:val="22"/>
          <w:szCs w:val="24"/>
          <w:rtl/>
        </w:rPr>
        <w:t>המקל</w:t>
      </w:r>
      <w:r w:rsidR="00292D3F" w:rsidRPr="008D481E">
        <w:rPr>
          <w:rFonts w:hint="cs"/>
          <w:rtl/>
        </w:rPr>
        <w:t xml:space="preserve"> </w:t>
      </w:r>
      <w:r w:rsidR="00292D3F" w:rsidRPr="000534F9">
        <w:rPr>
          <w:rFonts w:ascii="Century" w:hAnsi="Century" w:cs="Miriam" w:hint="eastAsia"/>
          <w:b/>
          <w:spacing w:val="0"/>
          <w:sz w:val="22"/>
          <w:szCs w:val="24"/>
          <w:rtl/>
        </w:rPr>
        <w:t>עד</w:t>
      </w:r>
      <w:r w:rsidR="00292D3F" w:rsidRPr="000534F9">
        <w:rPr>
          <w:rFonts w:ascii="Century" w:hAnsi="Century" w:cs="Miriam"/>
          <w:b/>
          <w:spacing w:val="0"/>
          <w:sz w:val="22"/>
          <w:szCs w:val="24"/>
          <w:rtl/>
        </w:rPr>
        <w:t xml:space="preserve"> </w:t>
      </w:r>
      <w:r w:rsidR="00292D3F" w:rsidRPr="000534F9">
        <w:rPr>
          <w:rFonts w:ascii="Century" w:hAnsi="Century" w:cs="Miriam" w:hint="eastAsia"/>
          <w:b/>
          <w:spacing w:val="0"/>
          <w:sz w:val="22"/>
          <w:szCs w:val="24"/>
          <w:rtl/>
        </w:rPr>
        <w:t>מאוד</w:t>
      </w:r>
      <w:r w:rsidR="00292D3F" w:rsidRPr="00C10943">
        <w:rPr>
          <w:rFonts w:hint="cs"/>
          <w:rtl/>
        </w:rPr>
        <w:t xml:space="preserve"> </w:t>
      </w:r>
      <w:r w:rsidR="00292D3F">
        <w:rPr>
          <w:rFonts w:hint="cs"/>
          <w:rtl/>
        </w:rPr>
        <w:t>שנקבע. זאת, לנוכח אופי הסכסוך שקדם לרצח, כמתואר בכתב האישום המתוקן; בשל כך שנסיבות אלו אינן כה "ייחודיות"; ובהתחשב בחומרת יתר נסיבות העבירה.</w:t>
      </w:r>
    </w:p>
    <w:p w:rsidR="00292D3F" w:rsidRDefault="00292D3F" w:rsidP="00292D3F">
      <w:pPr>
        <w:pStyle w:val="Ruller41"/>
        <w:rPr>
          <w:rtl/>
        </w:rPr>
      </w:pPr>
    </w:p>
    <w:p w:rsidR="00292D3F" w:rsidRPr="00E85046" w:rsidRDefault="00292D3F" w:rsidP="00292D3F">
      <w:pPr>
        <w:pStyle w:val="Ruller41"/>
        <w:rPr>
          <w:rFonts w:ascii="Century" w:hAnsi="Century" w:cs="Miriam"/>
          <w:b/>
          <w:spacing w:val="0"/>
          <w:szCs w:val="24"/>
          <w:rtl/>
        </w:rPr>
      </w:pPr>
      <w:r>
        <w:rPr>
          <w:rFonts w:ascii="Century" w:hAnsi="Century" w:cs="Miriam" w:hint="cs"/>
          <w:b/>
          <w:spacing w:val="0"/>
          <w:szCs w:val="24"/>
          <w:rtl/>
        </w:rPr>
        <w:t xml:space="preserve">(ב) חריגה מגדרי מתחם העונש ההולם בעבירת הרצח </w:t>
      </w:r>
      <w:r w:rsidR="00F266C5">
        <w:rPr>
          <w:rFonts w:ascii="Century" w:hAnsi="Century" w:cs="Miriam" w:hint="cs"/>
          <w:b/>
          <w:spacing w:val="0"/>
          <w:szCs w:val="24"/>
          <w:rtl/>
        </w:rPr>
        <w:t>הבסיסית</w:t>
      </w:r>
    </w:p>
    <w:p w:rsidR="00292D3F" w:rsidRDefault="00292D3F" w:rsidP="00292D3F">
      <w:pPr>
        <w:pStyle w:val="Ruller41"/>
        <w:rPr>
          <w:rtl/>
        </w:rPr>
      </w:pPr>
    </w:p>
    <w:p w:rsidR="00292D3F" w:rsidRDefault="00292D3F" w:rsidP="00292D3F">
      <w:pPr>
        <w:pStyle w:val="Ruller4"/>
        <w:rPr>
          <w:rtl/>
        </w:rPr>
      </w:pPr>
      <w:r>
        <w:rPr>
          <w:rFonts w:hint="cs"/>
          <w:rtl/>
        </w:rPr>
        <w:t xml:space="preserve">לאחר שנקבע מתחם העונש ההולם את מעשיו של המערער, בית המשפט המחוזי התחשב בנסיבותיו האישיות, ולבסוף מצא לחרוג ממנו לקולה לנוכח </w:t>
      </w:r>
      <w:r w:rsidRPr="00204027">
        <w:rPr>
          <w:rFonts w:ascii="Century" w:hAnsi="Century" w:cs="Miriam" w:hint="cs"/>
          <w:b/>
          <w:spacing w:val="0"/>
          <w:sz w:val="22"/>
          <w:szCs w:val="24"/>
          <w:rtl/>
        </w:rPr>
        <w:t>מצבו הרפואי הקשה</w:t>
      </w:r>
      <w:r>
        <w:rPr>
          <w:rFonts w:hint="cs"/>
          <w:rtl/>
        </w:rPr>
        <w:t>. זאת לאחר שמלכתחילה קבע מתחם ענישה המקל באופן משמעותי מן הראוי, כאמור לעיל. אגש עתה לבחינת סוגית חריגה ממתחם העונש ההולם בעבירת הרצח.</w:t>
      </w:r>
    </w:p>
    <w:p w:rsidR="00292D3F" w:rsidRDefault="00292D3F" w:rsidP="00292D3F">
      <w:pPr>
        <w:pStyle w:val="Ruller41"/>
        <w:rPr>
          <w:rtl/>
        </w:rPr>
      </w:pPr>
      <w:r>
        <w:rPr>
          <w:rtl/>
        </w:rPr>
        <w:tab/>
      </w:r>
    </w:p>
    <w:p w:rsidR="00292D3F" w:rsidRPr="00851A95" w:rsidRDefault="00292D3F" w:rsidP="00292D3F">
      <w:pPr>
        <w:pStyle w:val="Ruller41"/>
        <w:rPr>
          <w:rFonts w:ascii="Century" w:hAnsi="Century" w:cs="Miriam"/>
          <w:b/>
          <w:spacing w:val="0"/>
          <w:szCs w:val="24"/>
          <w:rtl/>
        </w:rPr>
      </w:pPr>
      <w:r>
        <w:rPr>
          <w:rFonts w:ascii="Century" w:hAnsi="Century" w:cs="Miriam"/>
          <w:b/>
          <w:spacing w:val="0"/>
          <w:szCs w:val="24"/>
          <w:rtl/>
        </w:rPr>
        <w:tab/>
      </w:r>
      <w:r w:rsidRPr="00851A95">
        <w:rPr>
          <w:rFonts w:ascii="Century" w:hAnsi="Century" w:cs="Miriam" w:hint="cs"/>
          <w:b/>
          <w:spacing w:val="0"/>
          <w:szCs w:val="24"/>
          <w:rtl/>
        </w:rPr>
        <w:t xml:space="preserve">מסגרת נורמטיבית </w:t>
      </w:r>
    </w:p>
    <w:p w:rsidR="00292D3F" w:rsidRDefault="00292D3F" w:rsidP="00292D3F">
      <w:pPr>
        <w:pStyle w:val="Ruller41"/>
        <w:rPr>
          <w:rtl/>
        </w:rPr>
      </w:pPr>
    </w:p>
    <w:p w:rsidR="00292D3F" w:rsidRDefault="00292D3F" w:rsidP="00292D3F">
      <w:pPr>
        <w:pStyle w:val="Ruller4"/>
        <w:rPr>
          <w:rtl/>
        </w:rPr>
      </w:pPr>
      <w:r>
        <w:rPr>
          <w:rFonts w:hint="cs"/>
          <w:rtl/>
        </w:rPr>
        <w:t xml:space="preserve">הסוגיה שלפנינו </w:t>
      </w:r>
      <w:r>
        <w:rPr>
          <w:rtl/>
        </w:rPr>
        <w:t>–</w:t>
      </w:r>
      <w:r>
        <w:rPr>
          <w:rFonts w:hint="cs"/>
          <w:rtl/>
        </w:rPr>
        <w:t xml:space="preserve"> חריגה ממתחם העונש ההולם בעבירת הרצח </w:t>
      </w:r>
      <w:r w:rsidR="00F266C5">
        <w:rPr>
          <w:rFonts w:hint="cs"/>
          <w:rtl/>
        </w:rPr>
        <w:t>הבסיסית</w:t>
      </w:r>
      <w:r>
        <w:rPr>
          <w:rFonts w:hint="cs"/>
          <w:rtl/>
        </w:rPr>
        <w:t xml:space="preserve"> </w:t>
      </w:r>
      <w:r>
        <w:rPr>
          <w:rtl/>
        </w:rPr>
        <w:t>–</w:t>
      </w:r>
      <w:r>
        <w:rPr>
          <w:rFonts w:hint="cs"/>
          <w:rtl/>
        </w:rPr>
        <w:t xml:space="preserve"> באה לעולם רק בעקבות הרפורמה בעבירות ההמתה. שכן, עובר לרפורמה, דין אחד ויחיד נקבע לרוצח </w:t>
      </w:r>
      <w:r>
        <w:rPr>
          <w:rtl/>
        </w:rPr>
        <w:t>–</w:t>
      </w:r>
      <w:r>
        <w:rPr>
          <w:rFonts w:hint="cs"/>
          <w:rtl/>
        </w:rPr>
        <w:t xml:space="preserve"> מאסר עולם </w:t>
      </w:r>
      <w:r w:rsidRPr="00DE70B1">
        <w:rPr>
          <w:rFonts w:ascii="Century" w:hAnsi="Century" w:cs="Miriam" w:hint="cs"/>
          <w:b/>
          <w:spacing w:val="0"/>
          <w:sz w:val="22"/>
          <w:szCs w:val="24"/>
          <w:rtl/>
        </w:rPr>
        <w:t>חובה</w:t>
      </w:r>
      <w:r>
        <w:rPr>
          <w:rFonts w:hint="cs"/>
          <w:rtl/>
        </w:rPr>
        <w:t xml:space="preserve"> </w:t>
      </w:r>
      <w:r w:rsidRPr="00CD005B">
        <w:rPr>
          <w:rtl/>
        </w:rPr>
        <w:t xml:space="preserve">(למעט מקרים מצומצמים ביותר, בין היתר, סעיף 300א לחוק, כנוסחו טרם הרפורמה; וסעיף 25(ב) לחוק הנוער (שפיטה, </w:t>
      </w:r>
      <w:r>
        <w:rPr>
          <w:rtl/>
        </w:rPr>
        <w:t xml:space="preserve">ענישה ודרכי טיפול), </w:t>
      </w:r>
      <w:r>
        <w:rPr>
          <w:rFonts w:hint="cs"/>
          <w:rtl/>
        </w:rPr>
        <w:t>ה</w:t>
      </w:r>
      <w:r>
        <w:rPr>
          <w:rtl/>
        </w:rPr>
        <w:t>תשל"א-1971</w:t>
      </w:r>
      <w:r>
        <w:rPr>
          <w:rFonts w:hint="cs"/>
          <w:rtl/>
        </w:rPr>
        <w:t xml:space="preserve">). עתה, בעקבות הרפורמה, בעבירת הרצח </w:t>
      </w:r>
      <w:r w:rsidR="00F266C5">
        <w:rPr>
          <w:rFonts w:hint="cs"/>
          <w:rtl/>
        </w:rPr>
        <w:t>הבסיסית</w:t>
      </w:r>
      <w:r>
        <w:rPr>
          <w:rFonts w:hint="cs"/>
          <w:rtl/>
        </w:rPr>
        <w:t xml:space="preserve"> נדרש בית המשפט לגזור את עונשו של הרוצח לפי כללי הבניית שיקול הדעת בענישה </w:t>
      </w:r>
      <w:r>
        <w:rPr>
          <w:rFonts w:hint="cs"/>
          <w:shd w:val="clear" w:color="auto" w:fill="FFFFFF"/>
          <w:rtl/>
        </w:rPr>
        <w:t>(</w:t>
      </w:r>
      <w:r w:rsidRPr="009157B5">
        <w:rPr>
          <w:rFonts w:hint="eastAsia"/>
          <w:shd w:val="clear" w:color="auto" w:fill="FFFFFF"/>
          <w:rtl/>
        </w:rPr>
        <w:t>ע</w:t>
      </w:r>
      <w:r w:rsidRPr="009157B5">
        <w:rPr>
          <w:shd w:val="clear" w:color="auto" w:fill="FFFFFF"/>
          <w:rtl/>
        </w:rPr>
        <w:t>"</w:t>
      </w:r>
      <w:r w:rsidRPr="009157B5">
        <w:rPr>
          <w:rFonts w:hint="eastAsia"/>
          <w:shd w:val="clear" w:color="auto" w:fill="FFFFFF"/>
          <w:rtl/>
        </w:rPr>
        <w:t>פ</w:t>
      </w:r>
      <w:r w:rsidRPr="009157B5">
        <w:rPr>
          <w:shd w:val="clear" w:color="auto" w:fill="FFFFFF"/>
          <w:rtl/>
        </w:rPr>
        <w:t xml:space="preserve"> 3223/21 </w:t>
      </w:r>
      <w:r w:rsidRPr="009157B5">
        <w:rPr>
          <w:rFonts w:ascii="Century" w:hAnsi="Century" w:cs="Miriam" w:hint="eastAsia"/>
          <w:b/>
          <w:spacing w:val="0"/>
          <w:sz w:val="22"/>
          <w:szCs w:val="24"/>
          <w:shd w:val="clear" w:color="auto" w:fill="FFFFFF"/>
          <w:rtl/>
        </w:rPr>
        <w:t>מדינת</w:t>
      </w:r>
      <w:r w:rsidRPr="009157B5">
        <w:rPr>
          <w:rFonts w:ascii="Century" w:hAnsi="Century" w:cs="Miriam"/>
          <w:b/>
          <w:spacing w:val="0"/>
          <w:sz w:val="22"/>
          <w:szCs w:val="24"/>
          <w:shd w:val="clear" w:color="auto" w:fill="FFFFFF"/>
          <w:rtl/>
        </w:rPr>
        <w:t xml:space="preserve"> </w:t>
      </w:r>
      <w:r w:rsidRPr="009157B5">
        <w:rPr>
          <w:rFonts w:ascii="Century" w:hAnsi="Century" w:cs="Miriam" w:hint="eastAsia"/>
          <w:b/>
          <w:spacing w:val="0"/>
          <w:sz w:val="22"/>
          <w:szCs w:val="24"/>
          <w:shd w:val="clear" w:color="auto" w:fill="FFFFFF"/>
          <w:rtl/>
        </w:rPr>
        <w:lastRenderedPageBreak/>
        <w:t>ישראל</w:t>
      </w:r>
      <w:r w:rsidRPr="009157B5">
        <w:rPr>
          <w:rFonts w:ascii="Century" w:hAnsi="Century" w:cs="Miriam"/>
          <w:b/>
          <w:spacing w:val="0"/>
          <w:sz w:val="22"/>
          <w:szCs w:val="24"/>
          <w:shd w:val="clear" w:color="auto" w:fill="FFFFFF"/>
          <w:rtl/>
        </w:rPr>
        <w:t xml:space="preserve"> </w:t>
      </w:r>
      <w:r w:rsidRPr="009157B5">
        <w:rPr>
          <w:rFonts w:ascii="Century" w:hAnsi="Century" w:cs="Miriam" w:hint="eastAsia"/>
          <w:b/>
          <w:spacing w:val="0"/>
          <w:sz w:val="22"/>
          <w:szCs w:val="24"/>
          <w:shd w:val="clear" w:color="auto" w:fill="FFFFFF"/>
          <w:rtl/>
        </w:rPr>
        <w:t>נ</w:t>
      </w:r>
      <w:r w:rsidRPr="009157B5">
        <w:rPr>
          <w:rFonts w:ascii="Century" w:hAnsi="Century" w:cs="Miriam"/>
          <w:b/>
          <w:spacing w:val="0"/>
          <w:sz w:val="22"/>
          <w:szCs w:val="24"/>
          <w:shd w:val="clear" w:color="auto" w:fill="FFFFFF"/>
          <w:rtl/>
        </w:rPr>
        <w:t xml:space="preserve">' </w:t>
      </w:r>
      <w:r w:rsidRPr="009157B5">
        <w:rPr>
          <w:rFonts w:ascii="Century" w:hAnsi="Century" w:cs="Miriam" w:hint="eastAsia"/>
          <w:b/>
          <w:spacing w:val="0"/>
          <w:sz w:val="22"/>
          <w:szCs w:val="24"/>
          <w:shd w:val="clear" w:color="auto" w:fill="FFFFFF"/>
          <w:rtl/>
        </w:rPr>
        <w:t>שפק</w:t>
      </w:r>
      <w:r w:rsidRPr="009157B5">
        <w:rPr>
          <w:shd w:val="clear" w:color="auto" w:fill="FFFFFF"/>
          <w:rtl/>
        </w:rPr>
        <w:t xml:space="preserve"> (2.3.2022)</w:t>
      </w:r>
      <w:r>
        <w:rPr>
          <w:rFonts w:hint="cs"/>
          <w:shd w:val="clear" w:color="auto" w:fill="FFFFFF"/>
          <w:rtl/>
        </w:rPr>
        <w:t xml:space="preserve"> (להלן: עניין </w:t>
      </w:r>
      <w:r w:rsidRPr="00213082">
        <w:rPr>
          <w:rFonts w:ascii="Century" w:hAnsi="Century" w:cs="Miriam" w:hint="cs"/>
          <w:b/>
          <w:spacing w:val="0"/>
          <w:sz w:val="22"/>
          <w:szCs w:val="24"/>
          <w:shd w:val="clear" w:color="auto" w:fill="FFFFFF"/>
          <w:rtl/>
        </w:rPr>
        <w:t>שפק</w:t>
      </w:r>
      <w:r>
        <w:rPr>
          <w:rFonts w:hint="cs"/>
          <w:shd w:val="clear" w:color="auto" w:fill="FFFFFF"/>
          <w:rtl/>
        </w:rPr>
        <w:t>)</w:t>
      </w:r>
      <w:r>
        <w:rPr>
          <w:rFonts w:hint="cs"/>
          <w:rtl/>
        </w:rPr>
        <w:t>). מלאכת גזירת הדין נפתחת בקביעת מתחם העונש ההולם (</w:t>
      </w:r>
      <w:r w:rsidRPr="00A27415">
        <w:rPr>
          <w:rtl/>
        </w:rPr>
        <w:t xml:space="preserve">סעיף 40ג(א) </w:t>
      </w:r>
      <w:r>
        <w:rPr>
          <w:rFonts w:hint="cs"/>
          <w:rtl/>
        </w:rPr>
        <w:t xml:space="preserve">לחוק), כאשר לאחר מכן עונשו של הנאשם ייגזר ככלל בגדרי המתחם </w:t>
      </w:r>
      <w:r w:rsidRPr="00A27415">
        <w:rPr>
          <w:rtl/>
        </w:rPr>
        <w:t xml:space="preserve">(סעיף 40ג(ב) </w:t>
      </w:r>
      <w:r>
        <w:rPr>
          <w:rFonts w:hint="cs"/>
          <w:rtl/>
        </w:rPr>
        <w:t xml:space="preserve">לחוק), לצד האפשרות המוקנית לבית המשפט לחרוג מהמתחם לקולה או לחומרה, במקרים המתאימים </w:t>
      </w:r>
      <w:r w:rsidRPr="00A27415">
        <w:rPr>
          <w:rtl/>
        </w:rPr>
        <w:t>(סעיף 40ד לחוק וסעיף 40ה לחוק</w:t>
      </w:r>
      <w:r>
        <w:rPr>
          <w:rFonts w:hint="cs"/>
          <w:rtl/>
        </w:rPr>
        <w:t>, בהתאמה</w:t>
      </w:r>
      <w:r w:rsidRPr="00A27415">
        <w:rPr>
          <w:rtl/>
        </w:rPr>
        <w:t>)</w:t>
      </w:r>
      <w:r>
        <w:rPr>
          <w:rFonts w:hint="cs"/>
          <w:rtl/>
        </w:rPr>
        <w:t>. בשל חשיבות הסוגיה העקרונית, ארחיב מעט במידה הדרושה.</w:t>
      </w:r>
    </w:p>
    <w:p w:rsidR="00292D3F" w:rsidRPr="00293789" w:rsidRDefault="00292D3F" w:rsidP="00292D3F">
      <w:pPr>
        <w:pStyle w:val="Ruller41"/>
        <w:rPr>
          <w:rtl/>
        </w:rPr>
      </w:pPr>
    </w:p>
    <w:p w:rsidR="00292D3F" w:rsidRPr="00161406" w:rsidRDefault="00292D3F" w:rsidP="00292D3F">
      <w:pPr>
        <w:pStyle w:val="Ruller4"/>
      </w:pPr>
      <w:r>
        <w:rPr>
          <w:rFonts w:hint="cs"/>
          <w:rtl/>
        </w:rPr>
        <w:t xml:space="preserve">במסגרת תיקון 113 </w:t>
      </w:r>
      <w:r w:rsidRPr="00976F95">
        <w:rPr>
          <w:rtl/>
        </w:rPr>
        <w:t>(</w:t>
      </w:r>
      <w:r w:rsidRPr="00976F95">
        <w:rPr>
          <w:rFonts w:hint="eastAsia"/>
          <w:rtl/>
        </w:rPr>
        <w:t>חוק</w:t>
      </w:r>
      <w:r w:rsidRPr="00976F95">
        <w:rPr>
          <w:rtl/>
        </w:rPr>
        <w:t xml:space="preserve"> </w:t>
      </w:r>
      <w:r w:rsidRPr="00976F95">
        <w:rPr>
          <w:rFonts w:hint="eastAsia"/>
          <w:rtl/>
        </w:rPr>
        <w:t>העונשין</w:t>
      </w:r>
      <w:r w:rsidRPr="00976F95">
        <w:rPr>
          <w:rtl/>
        </w:rPr>
        <w:t xml:space="preserve"> (</w:t>
      </w:r>
      <w:r w:rsidRPr="00976F95">
        <w:rPr>
          <w:rFonts w:hint="eastAsia"/>
          <w:rtl/>
        </w:rPr>
        <w:t>תיקון</w:t>
      </w:r>
      <w:r w:rsidRPr="00976F95">
        <w:rPr>
          <w:rtl/>
        </w:rPr>
        <w:t xml:space="preserve"> </w:t>
      </w:r>
      <w:r w:rsidRPr="00976F95">
        <w:rPr>
          <w:rFonts w:hint="eastAsia"/>
          <w:rtl/>
        </w:rPr>
        <w:t>מס</w:t>
      </w:r>
      <w:r w:rsidRPr="00976F95">
        <w:rPr>
          <w:rtl/>
        </w:rPr>
        <w:t xml:space="preserve">' 113), </w:t>
      </w:r>
      <w:r w:rsidRPr="00976F95">
        <w:rPr>
          <w:rFonts w:hint="eastAsia"/>
          <w:rtl/>
        </w:rPr>
        <w:t>התשע</w:t>
      </w:r>
      <w:r w:rsidRPr="00976F95">
        <w:rPr>
          <w:rtl/>
        </w:rPr>
        <w:t>"</w:t>
      </w:r>
      <w:r w:rsidRPr="00976F95">
        <w:rPr>
          <w:rFonts w:hint="eastAsia"/>
          <w:rtl/>
        </w:rPr>
        <w:t>ב</w:t>
      </w:r>
      <w:r w:rsidRPr="00976F95">
        <w:rPr>
          <w:rtl/>
        </w:rPr>
        <w:t xml:space="preserve">-2012, </w:t>
      </w:r>
      <w:r w:rsidRPr="00976F95">
        <w:rPr>
          <w:rFonts w:hint="eastAsia"/>
          <w:rtl/>
        </w:rPr>
        <w:t>ס</w:t>
      </w:r>
      <w:r w:rsidRPr="00976F95">
        <w:rPr>
          <w:rtl/>
        </w:rPr>
        <w:t>"</w:t>
      </w:r>
      <w:r w:rsidRPr="00976F95">
        <w:rPr>
          <w:rFonts w:hint="eastAsia"/>
          <w:rtl/>
        </w:rPr>
        <w:t>ח</w:t>
      </w:r>
      <w:r>
        <w:rPr>
          <w:rtl/>
        </w:rPr>
        <w:t xml:space="preserve"> 102)</w:t>
      </w:r>
      <w:r>
        <w:rPr>
          <w:rFonts w:hint="cs"/>
          <w:rtl/>
        </w:rPr>
        <w:t xml:space="preserve"> שעסק בהבניית שיקול הדעת בענישה, המחוקק עיגן בסעיף 40ד לחוק את האפשרות לחרוג לקולה מגדרי מתחם העונש ההולם. כך, סעיף 40ד(א) לחוק מקנה בידי בית המשפט את האפשרות לחרוג לקולה מהמתחם כאשר ניכר כי "</w:t>
      </w:r>
      <w:r w:rsidRPr="00A24D8E">
        <w:rPr>
          <w:rFonts w:ascii="Century" w:hAnsi="Century" w:cs="Miriam" w:hint="eastAsia"/>
          <w:b/>
          <w:spacing w:val="0"/>
          <w:sz w:val="22"/>
          <w:szCs w:val="24"/>
          <w:rtl/>
        </w:rPr>
        <w:t>הנאשם</w:t>
      </w:r>
      <w:r w:rsidRPr="00A24D8E">
        <w:rPr>
          <w:rFonts w:ascii="Century" w:hAnsi="Century" w:cs="Miriam"/>
          <w:b/>
          <w:spacing w:val="0"/>
          <w:sz w:val="22"/>
          <w:szCs w:val="24"/>
          <w:rtl/>
        </w:rPr>
        <w:t xml:space="preserve"> </w:t>
      </w:r>
      <w:r w:rsidRPr="00A24D8E">
        <w:rPr>
          <w:rFonts w:ascii="Century" w:hAnsi="Century" w:cs="Miriam" w:hint="eastAsia"/>
          <w:b/>
          <w:spacing w:val="0"/>
          <w:sz w:val="22"/>
          <w:szCs w:val="24"/>
          <w:rtl/>
        </w:rPr>
        <w:t>השתקם</w:t>
      </w:r>
      <w:r w:rsidRPr="00A24D8E">
        <w:rPr>
          <w:rFonts w:ascii="Century" w:hAnsi="Century" w:cs="Miriam"/>
          <w:b/>
          <w:spacing w:val="0"/>
          <w:sz w:val="22"/>
          <w:szCs w:val="24"/>
          <w:rtl/>
        </w:rPr>
        <w:t xml:space="preserve"> </w:t>
      </w:r>
      <w:r w:rsidRPr="00A24D8E">
        <w:rPr>
          <w:rFonts w:ascii="Century" w:hAnsi="Century" w:cs="Miriam" w:hint="eastAsia"/>
          <w:b/>
          <w:spacing w:val="0"/>
          <w:sz w:val="22"/>
          <w:szCs w:val="24"/>
          <w:rtl/>
        </w:rPr>
        <w:t>או</w:t>
      </w:r>
      <w:r w:rsidRPr="00A24D8E">
        <w:rPr>
          <w:rFonts w:ascii="Century" w:hAnsi="Century" w:cs="Miriam"/>
          <w:b/>
          <w:spacing w:val="0"/>
          <w:sz w:val="22"/>
          <w:szCs w:val="24"/>
          <w:rtl/>
        </w:rPr>
        <w:t xml:space="preserve"> </w:t>
      </w:r>
      <w:r w:rsidRPr="00A24D8E">
        <w:rPr>
          <w:rFonts w:ascii="Century" w:hAnsi="Century" w:cs="Miriam" w:hint="eastAsia"/>
          <w:b/>
          <w:spacing w:val="0"/>
          <w:sz w:val="22"/>
          <w:szCs w:val="24"/>
          <w:rtl/>
        </w:rPr>
        <w:t>כי</w:t>
      </w:r>
      <w:r w:rsidRPr="00A24D8E">
        <w:rPr>
          <w:rFonts w:ascii="Century" w:hAnsi="Century" w:cs="Miriam"/>
          <w:b/>
          <w:spacing w:val="0"/>
          <w:sz w:val="22"/>
          <w:szCs w:val="24"/>
          <w:rtl/>
        </w:rPr>
        <w:t xml:space="preserve"> </w:t>
      </w:r>
      <w:r w:rsidRPr="00A24D8E">
        <w:rPr>
          <w:rFonts w:ascii="Century" w:hAnsi="Century" w:cs="Miriam" w:hint="eastAsia"/>
          <w:b/>
          <w:spacing w:val="0"/>
          <w:sz w:val="22"/>
          <w:szCs w:val="24"/>
          <w:rtl/>
        </w:rPr>
        <w:t>יש</w:t>
      </w:r>
      <w:r w:rsidRPr="00A24D8E">
        <w:rPr>
          <w:rFonts w:ascii="Century" w:hAnsi="Century" w:cs="Miriam"/>
          <w:b/>
          <w:spacing w:val="0"/>
          <w:sz w:val="22"/>
          <w:szCs w:val="24"/>
          <w:rtl/>
        </w:rPr>
        <w:t xml:space="preserve"> </w:t>
      </w:r>
      <w:r w:rsidRPr="00A24D8E">
        <w:rPr>
          <w:rFonts w:ascii="Century" w:hAnsi="Century" w:cs="Miriam" w:hint="eastAsia"/>
          <w:b/>
          <w:spacing w:val="0"/>
          <w:sz w:val="22"/>
          <w:szCs w:val="24"/>
          <w:rtl/>
        </w:rPr>
        <w:t>סיכוי</w:t>
      </w:r>
      <w:r w:rsidRPr="00A24D8E">
        <w:rPr>
          <w:rFonts w:ascii="Century" w:hAnsi="Century" w:cs="Miriam"/>
          <w:b/>
          <w:spacing w:val="0"/>
          <w:sz w:val="22"/>
          <w:szCs w:val="24"/>
          <w:rtl/>
        </w:rPr>
        <w:t xml:space="preserve"> </w:t>
      </w:r>
      <w:r w:rsidRPr="00A24D8E">
        <w:rPr>
          <w:rFonts w:ascii="Century" w:hAnsi="Century" w:cs="Miriam" w:hint="eastAsia"/>
          <w:b/>
          <w:spacing w:val="0"/>
          <w:sz w:val="22"/>
          <w:szCs w:val="24"/>
          <w:rtl/>
        </w:rPr>
        <w:t>של</w:t>
      </w:r>
      <w:r w:rsidRPr="00A24D8E">
        <w:rPr>
          <w:rFonts w:ascii="Century" w:hAnsi="Century" w:cs="Miriam"/>
          <w:b/>
          <w:spacing w:val="0"/>
          <w:sz w:val="22"/>
          <w:szCs w:val="24"/>
          <w:rtl/>
        </w:rPr>
        <w:t xml:space="preserve"> </w:t>
      </w:r>
      <w:r w:rsidRPr="00A24D8E">
        <w:rPr>
          <w:rFonts w:ascii="Century" w:hAnsi="Century" w:cs="Miriam" w:hint="eastAsia"/>
          <w:b/>
          <w:spacing w:val="0"/>
          <w:sz w:val="22"/>
          <w:szCs w:val="24"/>
          <w:rtl/>
        </w:rPr>
        <w:t>ממש</w:t>
      </w:r>
      <w:r w:rsidRPr="00A24D8E">
        <w:rPr>
          <w:rFonts w:ascii="Century" w:hAnsi="Century" w:cs="Miriam"/>
          <w:b/>
          <w:spacing w:val="0"/>
          <w:sz w:val="22"/>
          <w:szCs w:val="24"/>
          <w:rtl/>
        </w:rPr>
        <w:t xml:space="preserve"> </w:t>
      </w:r>
      <w:r w:rsidRPr="00A24D8E">
        <w:rPr>
          <w:rFonts w:ascii="Century" w:hAnsi="Century" w:cs="Miriam" w:hint="eastAsia"/>
          <w:b/>
          <w:spacing w:val="0"/>
          <w:sz w:val="22"/>
          <w:szCs w:val="24"/>
          <w:rtl/>
        </w:rPr>
        <w:t>שישתקם</w:t>
      </w:r>
      <w:r>
        <w:rPr>
          <w:rFonts w:hint="cs"/>
          <w:rtl/>
        </w:rPr>
        <w:t>". אין די בהתרשמות כללית או בטענות בעלמא על אודות ההליך השיקומי שעובר הנאשם, אלא עליו להוכיח את טענתו באמצעות עובדות וראיות ועל יסוד תשתית עובדתית מוצקה (</w:t>
      </w:r>
      <w:r w:rsidRPr="008C6C7F">
        <w:rPr>
          <w:rFonts w:hint="eastAsia"/>
          <w:rtl/>
        </w:rPr>
        <w:t>אורן</w:t>
      </w:r>
      <w:r w:rsidRPr="008C6C7F">
        <w:rPr>
          <w:rtl/>
        </w:rPr>
        <w:t xml:space="preserve"> </w:t>
      </w:r>
      <w:r w:rsidRPr="008C6C7F">
        <w:rPr>
          <w:rFonts w:hint="eastAsia"/>
          <w:rtl/>
        </w:rPr>
        <w:t>גזל</w:t>
      </w:r>
      <w:r w:rsidRPr="008C6C7F">
        <w:rPr>
          <w:rtl/>
        </w:rPr>
        <w:t xml:space="preserve"> </w:t>
      </w:r>
      <w:r w:rsidRPr="008C6C7F">
        <w:rPr>
          <w:rFonts w:hint="eastAsia"/>
          <w:rtl/>
        </w:rPr>
        <w:t>אייל</w:t>
      </w:r>
      <w:r w:rsidRPr="008C6C7F">
        <w:rPr>
          <w:rtl/>
        </w:rPr>
        <w:t xml:space="preserve"> "</w:t>
      </w:r>
      <w:r w:rsidRPr="008C6C7F">
        <w:rPr>
          <w:rFonts w:hint="eastAsia"/>
          <w:rtl/>
        </w:rPr>
        <w:t>חריגה</w:t>
      </w:r>
      <w:r w:rsidRPr="008C6C7F">
        <w:rPr>
          <w:rtl/>
        </w:rPr>
        <w:t xml:space="preserve"> </w:t>
      </w:r>
      <w:r w:rsidRPr="008C6C7F">
        <w:rPr>
          <w:rFonts w:hint="eastAsia"/>
          <w:rtl/>
        </w:rPr>
        <w:t>ממתחם</w:t>
      </w:r>
      <w:r w:rsidRPr="008C6C7F">
        <w:rPr>
          <w:rtl/>
        </w:rPr>
        <w:t xml:space="preserve"> </w:t>
      </w:r>
      <w:r w:rsidRPr="008C6C7F">
        <w:rPr>
          <w:rFonts w:hint="eastAsia"/>
          <w:rtl/>
        </w:rPr>
        <w:t>העונש</w:t>
      </w:r>
      <w:r w:rsidRPr="008C6C7F">
        <w:rPr>
          <w:rtl/>
        </w:rPr>
        <w:t xml:space="preserve"> </w:t>
      </w:r>
      <w:r w:rsidRPr="008C6C7F">
        <w:rPr>
          <w:rFonts w:hint="eastAsia"/>
          <w:rtl/>
        </w:rPr>
        <w:t>ההולם</w:t>
      </w:r>
      <w:r w:rsidRPr="008C6C7F">
        <w:rPr>
          <w:rtl/>
        </w:rPr>
        <w:t xml:space="preserve">" </w:t>
      </w:r>
      <w:r w:rsidRPr="008C6C7F">
        <w:rPr>
          <w:rFonts w:ascii="Century" w:hAnsi="Century" w:cs="Miriam" w:hint="eastAsia"/>
          <w:b/>
          <w:spacing w:val="0"/>
          <w:sz w:val="22"/>
          <w:szCs w:val="24"/>
          <w:rtl/>
        </w:rPr>
        <w:t>ספר</w:t>
      </w:r>
      <w:r w:rsidRPr="008C6C7F">
        <w:rPr>
          <w:rFonts w:ascii="Century" w:hAnsi="Century" w:cs="Miriam"/>
          <w:b/>
          <w:spacing w:val="0"/>
          <w:sz w:val="22"/>
          <w:szCs w:val="24"/>
          <w:rtl/>
        </w:rPr>
        <w:t xml:space="preserve"> </w:t>
      </w:r>
      <w:r w:rsidRPr="008C6C7F">
        <w:rPr>
          <w:rFonts w:ascii="Century" w:hAnsi="Century" w:cs="Miriam" w:hint="eastAsia"/>
          <w:b/>
          <w:spacing w:val="0"/>
          <w:sz w:val="22"/>
          <w:szCs w:val="24"/>
          <w:rtl/>
        </w:rPr>
        <w:t>דורית</w:t>
      </w:r>
      <w:r w:rsidRPr="008C6C7F">
        <w:rPr>
          <w:rFonts w:ascii="Century" w:hAnsi="Century" w:cs="Miriam"/>
          <w:b/>
          <w:spacing w:val="0"/>
          <w:sz w:val="22"/>
          <w:szCs w:val="24"/>
          <w:rtl/>
        </w:rPr>
        <w:t xml:space="preserve"> </w:t>
      </w:r>
      <w:r w:rsidRPr="008C6C7F">
        <w:rPr>
          <w:rFonts w:ascii="Century" w:hAnsi="Century" w:cs="Miriam" w:hint="eastAsia"/>
          <w:b/>
          <w:spacing w:val="0"/>
          <w:sz w:val="22"/>
          <w:szCs w:val="24"/>
          <w:rtl/>
        </w:rPr>
        <w:t>ביניש</w:t>
      </w:r>
      <w:r w:rsidRPr="008C6C7F">
        <w:rPr>
          <w:rtl/>
        </w:rPr>
        <w:t xml:space="preserve"> </w:t>
      </w:r>
      <w:r>
        <w:rPr>
          <w:rFonts w:hint="cs"/>
          <w:rtl/>
        </w:rPr>
        <w:t xml:space="preserve">546 </w:t>
      </w:r>
      <w:r w:rsidRPr="008C6C7F">
        <w:rPr>
          <w:rtl/>
        </w:rPr>
        <w:t>(</w:t>
      </w:r>
      <w:r w:rsidRPr="008C6C7F">
        <w:rPr>
          <w:rFonts w:hint="eastAsia"/>
          <w:rtl/>
        </w:rPr>
        <w:t>קרן</w:t>
      </w:r>
      <w:r w:rsidRPr="008C6C7F">
        <w:rPr>
          <w:rtl/>
        </w:rPr>
        <w:t xml:space="preserve"> </w:t>
      </w:r>
      <w:r w:rsidRPr="008C6C7F">
        <w:rPr>
          <w:rFonts w:hint="eastAsia"/>
          <w:rtl/>
        </w:rPr>
        <w:t>אזולאי</w:t>
      </w:r>
      <w:r>
        <w:rPr>
          <w:rFonts w:hint="cs"/>
          <w:rtl/>
        </w:rPr>
        <w:t xml:space="preserve"> ואח' </w:t>
      </w:r>
      <w:r w:rsidRPr="008C6C7F">
        <w:rPr>
          <w:rFonts w:hint="eastAsia"/>
          <w:rtl/>
        </w:rPr>
        <w:t>עורכים</w:t>
      </w:r>
      <w:r w:rsidRPr="008C6C7F">
        <w:rPr>
          <w:rtl/>
        </w:rPr>
        <w:t xml:space="preserve"> 2015) (</w:t>
      </w:r>
      <w:r w:rsidRPr="008C6C7F">
        <w:rPr>
          <w:rFonts w:hint="eastAsia"/>
          <w:rtl/>
        </w:rPr>
        <w:t>להלן</w:t>
      </w:r>
      <w:r w:rsidRPr="008C6C7F">
        <w:rPr>
          <w:rtl/>
        </w:rPr>
        <w:t xml:space="preserve">: </w:t>
      </w:r>
      <w:r w:rsidRPr="008C6C7F">
        <w:rPr>
          <w:rFonts w:ascii="Century" w:hAnsi="Century" w:cs="Miriam" w:hint="eastAsia"/>
          <w:b/>
          <w:spacing w:val="0"/>
          <w:sz w:val="22"/>
          <w:szCs w:val="24"/>
          <w:rtl/>
        </w:rPr>
        <w:t>גזל</w:t>
      </w:r>
      <w:r w:rsidRPr="008C6C7F">
        <w:rPr>
          <w:rFonts w:ascii="Century" w:hAnsi="Century" w:cs="Miriam"/>
          <w:b/>
          <w:spacing w:val="0"/>
          <w:sz w:val="22"/>
          <w:szCs w:val="24"/>
          <w:rtl/>
        </w:rPr>
        <w:t xml:space="preserve"> </w:t>
      </w:r>
      <w:r w:rsidRPr="008C6C7F">
        <w:rPr>
          <w:rFonts w:ascii="Century" w:hAnsi="Century" w:cs="Miriam" w:hint="eastAsia"/>
          <w:b/>
          <w:spacing w:val="0"/>
          <w:sz w:val="22"/>
          <w:szCs w:val="24"/>
          <w:rtl/>
        </w:rPr>
        <w:t>אייל</w:t>
      </w:r>
      <w:r w:rsidRPr="008C6C7F">
        <w:rPr>
          <w:rtl/>
        </w:rPr>
        <w:t>)</w:t>
      </w:r>
      <w:r>
        <w:rPr>
          <w:rFonts w:hint="cs"/>
          <w:rtl/>
        </w:rPr>
        <w:t xml:space="preserve">; </w:t>
      </w:r>
      <w:r w:rsidRPr="00161406">
        <w:rPr>
          <w:rFonts w:hint="eastAsia"/>
          <w:rtl/>
        </w:rPr>
        <w:t>יורם</w:t>
      </w:r>
      <w:r w:rsidRPr="00161406">
        <w:rPr>
          <w:rtl/>
        </w:rPr>
        <w:t xml:space="preserve"> </w:t>
      </w:r>
      <w:r w:rsidRPr="00161406">
        <w:rPr>
          <w:rFonts w:hint="eastAsia"/>
          <w:rtl/>
        </w:rPr>
        <w:t>רבין</w:t>
      </w:r>
      <w:r>
        <w:rPr>
          <w:rFonts w:hint="cs"/>
          <w:rtl/>
        </w:rPr>
        <w:t xml:space="preserve"> ו</w:t>
      </w:r>
      <w:r w:rsidRPr="00161406">
        <w:rPr>
          <w:rFonts w:hint="eastAsia"/>
          <w:rtl/>
        </w:rPr>
        <w:t>יניב</w:t>
      </w:r>
      <w:r w:rsidRPr="00161406">
        <w:rPr>
          <w:rtl/>
        </w:rPr>
        <w:t xml:space="preserve"> </w:t>
      </w:r>
      <w:r w:rsidRPr="00161406">
        <w:rPr>
          <w:rFonts w:hint="eastAsia"/>
          <w:rtl/>
        </w:rPr>
        <w:t>ואקי</w:t>
      </w:r>
      <w:r w:rsidRPr="00161406">
        <w:rPr>
          <w:rtl/>
        </w:rPr>
        <w:t xml:space="preserve"> </w:t>
      </w:r>
      <w:r w:rsidRPr="00161406">
        <w:rPr>
          <w:rFonts w:ascii="Century" w:hAnsi="Century" w:cs="Miriam" w:hint="eastAsia"/>
          <w:b/>
          <w:spacing w:val="0"/>
          <w:sz w:val="22"/>
          <w:szCs w:val="24"/>
          <w:rtl/>
        </w:rPr>
        <w:t>דיני</w:t>
      </w:r>
      <w:r w:rsidRPr="00161406">
        <w:rPr>
          <w:rFonts w:ascii="Century" w:hAnsi="Century" w:cs="Miriam"/>
          <w:b/>
          <w:spacing w:val="0"/>
          <w:sz w:val="22"/>
          <w:szCs w:val="24"/>
          <w:rtl/>
        </w:rPr>
        <w:t xml:space="preserve"> </w:t>
      </w:r>
      <w:r w:rsidRPr="00161406">
        <w:rPr>
          <w:rFonts w:ascii="Century" w:hAnsi="Century" w:cs="Miriam" w:hint="eastAsia"/>
          <w:b/>
          <w:spacing w:val="0"/>
          <w:sz w:val="22"/>
          <w:szCs w:val="24"/>
          <w:rtl/>
        </w:rPr>
        <w:t>עונשין</w:t>
      </w:r>
      <w:r w:rsidRPr="00161406">
        <w:rPr>
          <w:rtl/>
        </w:rPr>
        <w:t xml:space="preserve"> </w:t>
      </w:r>
      <w:r w:rsidRPr="00161406">
        <w:rPr>
          <w:rFonts w:hint="eastAsia"/>
          <w:rtl/>
        </w:rPr>
        <w:t>ג</w:t>
      </w:r>
      <w:r w:rsidRPr="00161406">
        <w:rPr>
          <w:rtl/>
        </w:rPr>
        <w:t xml:space="preserve"> </w:t>
      </w:r>
      <w:r>
        <w:rPr>
          <w:rFonts w:hint="cs"/>
          <w:rtl/>
        </w:rPr>
        <w:t xml:space="preserve">107 </w:t>
      </w:r>
      <w:r w:rsidRPr="00161406">
        <w:rPr>
          <w:rtl/>
        </w:rPr>
        <w:t>(</w:t>
      </w:r>
      <w:r w:rsidRPr="00161406">
        <w:rPr>
          <w:rFonts w:hint="eastAsia"/>
          <w:rtl/>
        </w:rPr>
        <w:t>מהדורה</w:t>
      </w:r>
      <w:r w:rsidRPr="00161406">
        <w:rPr>
          <w:rtl/>
        </w:rPr>
        <w:t xml:space="preserve"> </w:t>
      </w:r>
      <w:r w:rsidRPr="00161406">
        <w:rPr>
          <w:rFonts w:hint="eastAsia"/>
          <w:rtl/>
        </w:rPr>
        <w:t>רביעית</w:t>
      </w:r>
      <w:r w:rsidRPr="00161406">
        <w:rPr>
          <w:rtl/>
        </w:rPr>
        <w:t xml:space="preserve"> 2022)</w:t>
      </w:r>
      <w:r>
        <w:rPr>
          <w:rFonts w:hint="cs"/>
          <w:rtl/>
        </w:rPr>
        <w:t xml:space="preserve"> (להלן: </w:t>
      </w:r>
      <w:r>
        <w:rPr>
          <w:rFonts w:ascii="Century" w:hAnsi="Century" w:cs="Miriam" w:hint="cs"/>
          <w:b/>
          <w:spacing w:val="0"/>
          <w:sz w:val="22"/>
          <w:szCs w:val="24"/>
          <w:rtl/>
        </w:rPr>
        <w:t xml:space="preserve">רבין </w:t>
      </w:r>
      <w:proofErr w:type="spellStart"/>
      <w:r>
        <w:rPr>
          <w:rFonts w:ascii="Century" w:hAnsi="Century" w:cs="Miriam" w:hint="cs"/>
          <w:b/>
          <w:spacing w:val="0"/>
          <w:sz w:val="22"/>
          <w:szCs w:val="24"/>
          <w:rtl/>
        </w:rPr>
        <w:t>וואקי</w:t>
      </w:r>
      <w:proofErr w:type="spellEnd"/>
      <w:r>
        <w:rPr>
          <w:rFonts w:hint="cs"/>
          <w:rtl/>
        </w:rPr>
        <w:t>)).</w:t>
      </w:r>
    </w:p>
    <w:p w:rsidR="00292D3F" w:rsidRPr="00161406" w:rsidRDefault="00292D3F" w:rsidP="00292D3F">
      <w:pPr>
        <w:pStyle w:val="Ruller4"/>
        <w:numPr>
          <w:ilvl w:val="0"/>
          <w:numId w:val="0"/>
        </w:numPr>
      </w:pPr>
    </w:p>
    <w:p w:rsidR="00292D3F" w:rsidRDefault="00292D3F" w:rsidP="00292D3F">
      <w:pPr>
        <w:pStyle w:val="Ruller4"/>
        <w:rPr>
          <w:rtl/>
        </w:rPr>
      </w:pPr>
      <w:r>
        <w:rPr>
          <w:rFonts w:hint="cs"/>
          <w:rtl/>
        </w:rPr>
        <w:t xml:space="preserve">לצד הכלל המאפשר לחרוג לקולה ממתחם העונש המנוי בסעיף 40ד(א) לחוק, המחוקק ייחד תת-סעיף נפרד למקרים העוסקים בעבירות שבהן </w:t>
      </w:r>
      <w:r w:rsidRPr="000F0153">
        <w:rPr>
          <w:rFonts w:hint="eastAsia"/>
          <w:rtl/>
        </w:rPr>
        <w:t>מעשה</w:t>
      </w:r>
      <w:r w:rsidRPr="000F0153">
        <w:rPr>
          <w:rtl/>
        </w:rPr>
        <w:t xml:space="preserve"> </w:t>
      </w:r>
      <w:r w:rsidRPr="000F0153">
        <w:rPr>
          <w:rFonts w:hint="eastAsia"/>
          <w:rtl/>
        </w:rPr>
        <w:t>העבירה</w:t>
      </w:r>
      <w:r w:rsidRPr="000F0153">
        <w:rPr>
          <w:rtl/>
        </w:rPr>
        <w:t xml:space="preserve"> </w:t>
      </w:r>
      <w:r w:rsidRPr="000F0153">
        <w:rPr>
          <w:rFonts w:hint="eastAsia"/>
          <w:rtl/>
        </w:rPr>
        <w:t>ומידת</w:t>
      </w:r>
      <w:r w:rsidRPr="000F0153">
        <w:rPr>
          <w:rtl/>
        </w:rPr>
        <w:t xml:space="preserve"> </w:t>
      </w:r>
      <w:r w:rsidRPr="000F0153">
        <w:rPr>
          <w:rFonts w:hint="eastAsia"/>
          <w:rtl/>
        </w:rPr>
        <w:t>אשמו</w:t>
      </w:r>
      <w:r w:rsidRPr="000F0153">
        <w:rPr>
          <w:rtl/>
        </w:rPr>
        <w:t xml:space="preserve"> </w:t>
      </w:r>
      <w:r w:rsidRPr="000F0153">
        <w:rPr>
          <w:rFonts w:hint="eastAsia"/>
          <w:rtl/>
        </w:rPr>
        <w:t>של</w:t>
      </w:r>
      <w:r w:rsidRPr="000F0153">
        <w:rPr>
          <w:rtl/>
        </w:rPr>
        <w:t xml:space="preserve"> </w:t>
      </w:r>
      <w:r w:rsidRPr="000F0153">
        <w:rPr>
          <w:rFonts w:hint="eastAsia"/>
          <w:rtl/>
        </w:rPr>
        <w:t>הנאשם</w:t>
      </w:r>
      <w:r w:rsidRPr="000F0153">
        <w:rPr>
          <w:rtl/>
        </w:rPr>
        <w:t xml:space="preserve"> </w:t>
      </w:r>
      <w:r>
        <w:rPr>
          <w:rFonts w:hint="cs"/>
          <w:rtl/>
        </w:rPr>
        <w:t xml:space="preserve">הם </w:t>
      </w:r>
      <w:r w:rsidRPr="000F0153">
        <w:rPr>
          <w:rFonts w:ascii="Century" w:hAnsi="Century" w:hint="eastAsia"/>
          <w:sz w:val="22"/>
          <w:rtl/>
        </w:rPr>
        <w:t>בעלי</w:t>
      </w:r>
      <w:r w:rsidRPr="000F0153">
        <w:rPr>
          <w:rFonts w:ascii="Century" w:hAnsi="Century" w:cs="Miriam"/>
          <w:b/>
          <w:spacing w:val="0"/>
          <w:sz w:val="22"/>
          <w:szCs w:val="24"/>
          <w:rtl/>
        </w:rPr>
        <w:t xml:space="preserve"> </w:t>
      </w:r>
      <w:r w:rsidRPr="000F0153">
        <w:rPr>
          <w:rFonts w:ascii="Century" w:hAnsi="Century" w:cs="Miriam" w:hint="eastAsia"/>
          <w:b/>
          <w:spacing w:val="0"/>
          <w:sz w:val="22"/>
          <w:szCs w:val="24"/>
          <w:rtl/>
        </w:rPr>
        <w:t>חומרה</w:t>
      </w:r>
      <w:r w:rsidRPr="000F0153">
        <w:rPr>
          <w:rFonts w:ascii="Century" w:hAnsi="Century" w:cs="Miriam"/>
          <w:b/>
          <w:spacing w:val="0"/>
          <w:sz w:val="22"/>
          <w:szCs w:val="24"/>
          <w:rtl/>
        </w:rPr>
        <w:t xml:space="preserve"> </w:t>
      </w:r>
      <w:r w:rsidRPr="000F0153">
        <w:rPr>
          <w:rFonts w:ascii="Century" w:hAnsi="Century" w:cs="Miriam" w:hint="eastAsia"/>
          <w:b/>
          <w:spacing w:val="0"/>
          <w:sz w:val="22"/>
          <w:szCs w:val="24"/>
          <w:rtl/>
        </w:rPr>
        <w:t>יתרה</w:t>
      </w:r>
      <w:r>
        <w:rPr>
          <w:rFonts w:hint="cs"/>
          <w:rtl/>
        </w:rPr>
        <w:t>:</w:t>
      </w:r>
    </w:p>
    <w:p w:rsidR="00292D3F" w:rsidRDefault="00292D3F" w:rsidP="00292D3F">
      <w:pPr>
        <w:pStyle w:val="Ruller41"/>
        <w:rPr>
          <w:rtl/>
        </w:rPr>
      </w:pPr>
    </w:p>
    <w:p w:rsidR="00292D3F" w:rsidRDefault="00292D3F" w:rsidP="00292D3F">
      <w:pPr>
        <w:pStyle w:val="Ruller5"/>
        <w:rPr>
          <w:rtl/>
        </w:rPr>
      </w:pPr>
      <w:r>
        <w:rPr>
          <w:rFonts w:hint="cs"/>
          <w:rtl/>
        </w:rPr>
        <w:t>"40ד</w:t>
      </w:r>
      <w:r>
        <w:rPr>
          <w:rtl/>
        </w:rPr>
        <w:t>(</w:t>
      </w:r>
      <w:r>
        <w:rPr>
          <w:rFonts w:hint="eastAsia"/>
          <w:rtl/>
        </w:rPr>
        <w:t>ב</w:t>
      </w:r>
      <w:r>
        <w:rPr>
          <w:rtl/>
        </w:rPr>
        <w:t xml:space="preserve">)  </w:t>
      </w:r>
      <w:r w:rsidRPr="00D56CCD">
        <w:rPr>
          <w:rFonts w:ascii="Century" w:hAnsi="Century" w:cs="Miriam" w:hint="eastAsia"/>
          <w:b/>
          <w:spacing w:val="0"/>
          <w:szCs w:val="24"/>
          <w:rtl/>
        </w:rPr>
        <w:t>היו</w:t>
      </w:r>
      <w:r w:rsidRPr="00D56CCD">
        <w:rPr>
          <w:rFonts w:ascii="Century" w:hAnsi="Century" w:cs="Miriam"/>
          <w:b/>
          <w:spacing w:val="0"/>
          <w:szCs w:val="24"/>
          <w:rtl/>
        </w:rPr>
        <w:t xml:space="preserve"> </w:t>
      </w:r>
      <w:r w:rsidRPr="00D56CCD">
        <w:rPr>
          <w:rFonts w:ascii="Century" w:hAnsi="Century" w:cs="Miriam" w:hint="eastAsia"/>
          <w:b/>
          <w:spacing w:val="0"/>
          <w:szCs w:val="24"/>
          <w:rtl/>
        </w:rPr>
        <w:t>מעשה</w:t>
      </w:r>
      <w:r w:rsidRPr="00D56CCD">
        <w:rPr>
          <w:rFonts w:ascii="Century" w:hAnsi="Century" w:cs="Miriam"/>
          <w:b/>
          <w:spacing w:val="0"/>
          <w:szCs w:val="24"/>
          <w:rtl/>
        </w:rPr>
        <w:t xml:space="preserve"> </w:t>
      </w:r>
      <w:r w:rsidRPr="00D56CCD">
        <w:rPr>
          <w:rFonts w:ascii="Century" w:hAnsi="Century" w:cs="Miriam" w:hint="eastAsia"/>
          <w:b/>
          <w:spacing w:val="0"/>
          <w:szCs w:val="24"/>
          <w:rtl/>
        </w:rPr>
        <w:t>העבירה</w:t>
      </w:r>
      <w:r w:rsidRPr="00D56CCD">
        <w:rPr>
          <w:rFonts w:ascii="Century" w:hAnsi="Century" w:cs="Miriam"/>
          <w:b/>
          <w:spacing w:val="0"/>
          <w:szCs w:val="24"/>
          <w:rtl/>
        </w:rPr>
        <w:t xml:space="preserve"> </w:t>
      </w:r>
      <w:r w:rsidRPr="00D56CCD">
        <w:rPr>
          <w:rFonts w:ascii="Century" w:hAnsi="Century" w:cs="Miriam" w:hint="eastAsia"/>
          <w:b/>
          <w:spacing w:val="0"/>
          <w:szCs w:val="24"/>
          <w:rtl/>
        </w:rPr>
        <w:t>ומידת</w:t>
      </w:r>
      <w:r w:rsidRPr="00D56CCD">
        <w:rPr>
          <w:rFonts w:ascii="Century" w:hAnsi="Century" w:cs="Miriam"/>
          <w:b/>
          <w:spacing w:val="0"/>
          <w:szCs w:val="24"/>
          <w:rtl/>
        </w:rPr>
        <w:t xml:space="preserve"> </w:t>
      </w:r>
      <w:r w:rsidRPr="00D56CCD">
        <w:rPr>
          <w:rFonts w:ascii="Century" w:hAnsi="Century" w:cs="Miriam" w:hint="eastAsia"/>
          <w:b/>
          <w:spacing w:val="0"/>
          <w:szCs w:val="24"/>
          <w:rtl/>
        </w:rPr>
        <w:t>אשמו</w:t>
      </w:r>
      <w:r w:rsidRPr="00D56CCD">
        <w:rPr>
          <w:rFonts w:ascii="Century" w:hAnsi="Century" w:cs="Miriam"/>
          <w:b/>
          <w:spacing w:val="0"/>
          <w:szCs w:val="24"/>
          <w:rtl/>
        </w:rPr>
        <w:t xml:space="preserve"> </w:t>
      </w:r>
      <w:r w:rsidRPr="00D56CCD">
        <w:rPr>
          <w:rFonts w:ascii="Century" w:hAnsi="Century" w:cs="Miriam" w:hint="eastAsia"/>
          <w:b/>
          <w:spacing w:val="0"/>
          <w:szCs w:val="24"/>
          <w:rtl/>
        </w:rPr>
        <w:t>של</w:t>
      </w:r>
      <w:r w:rsidRPr="00D56CCD">
        <w:rPr>
          <w:rFonts w:ascii="Century" w:hAnsi="Century" w:cs="Miriam"/>
          <w:b/>
          <w:spacing w:val="0"/>
          <w:szCs w:val="24"/>
          <w:rtl/>
        </w:rPr>
        <w:t xml:space="preserve"> </w:t>
      </w:r>
      <w:r w:rsidRPr="00D56CCD">
        <w:rPr>
          <w:rFonts w:ascii="Century" w:hAnsi="Century" w:cs="Miriam" w:hint="eastAsia"/>
          <w:b/>
          <w:spacing w:val="0"/>
          <w:szCs w:val="24"/>
          <w:rtl/>
        </w:rPr>
        <w:t>הנאשם</w:t>
      </w:r>
      <w:r w:rsidRPr="00D56CCD">
        <w:rPr>
          <w:rFonts w:ascii="Century" w:hAnsi="Century" w:cs="Miriam"/>
          <w:b/>
          <w:spacing w:val="0"/>
          <w:szCs w:val="24"/>
          <w:rtl/>
        </w:rPr>
        <w:t xml:space="preserve"> </w:t>
      </w:r>
      <w:r w:rsidRPr="00D56CCD">
        <w:rPr>
          <w:rFonts w:ascii="Century" w:hAnsi="Century" w:cs="Miriam" w:hint="eastAsia"/>
          <w:b/>
          <w:spacing w:val="0"/>
          <w:szCs w:val="24"/>
          <w:rtl/>
        </w:rPr>
        <w:t>בעלי</w:t>
      </w:r>
      <w:r w:rsidRPr="00D56CCD">
        <w:rPr>
          <w:rFonts w:ascii="Century" w:hAnsi="Century" w:cs="Miriam"/>
          <w:b/>
          <w:spacing w:val="0"/>
          <w:szCs w:val="24"/>
          <w:rtl/>
        </w:rPr>
        <w:t xml:space="preserve"> </w:t>
      </w:r>
      <w:r w:rsidRPr="00D56CCD">
        <w:rPr>
          <w:rFonts w:ascii="Century" w:hAnsi="Century" w:cs="Miriam" w:hint="eastAsia"/>
          <w:b/>
          <w:spacing w:val="0"/>
          <w:szCs w:val="24"/>
          <w:rtl/>
        </w:rPr>
        <w:t>חומרה</w:t>
      </w:r>
      <w:r w:rsidRPr="00D56CCD">
        <w:rPr>
          <w:rFonts w:ascii="Century" w:hAnsi="Century" w:cs="Miriam"/>
          <w:b/>
          <w:spacing w:val="0"/>
          <w:szCs w:val="24"/>
          <w:rtl/>
        </w:rPr>
        <w:t xml:space="preserve"> </w:t>
      </w:r>
      <w:r w:rsidRPr="00D56CCD">
        <w:rPr>
          <w:rFonts w:ascii="Century" w:hAnsi="Century" w:cs="Miriam" w:hint="eastAsia"/>
          <w:b/>
          <w:spacing w:val="0"/>
          <w:szCs w:val="24"/>
          <w:rtl/>
        </w:rPr>
        <w:t>יתרה</w:t>
      </w:r>
      <w:r>
        <w:rPr>
          <w:rtl/>
        </w:rPr>
        <w:t xml:space="preserve">, </w:t>
      </w:r>
      <w:r>
        <w:rPr>
          <w:rFonts w:hint="eastAsia"/>
          <w:rtl/>
        </w:rPr>
        <w:t>לא</w:t>
      </w:r>
      <w:r>
        <w:rPr>
          <w:rtl/>
        </w:rPr>
        <w:t xml:space="preserve"> </w:t>
      </w:r>
      <w:r>
        <w:rPr>
          <w:rFonts w:hint="eastAsia"/>
          <w:rtl/>
        </w:rPr>
        <w:t>יחרוג</w:t>
      </w:r>
      <w:r>
        <w:rPr>
          <w:rtl/>
        </w:rPr>
        <w:t xml:space="preserve"> </w:t>
      </w:r>
      <w:r>
        <w:rPr>
          <w:rFonts w:hint="eastAsia"/>
          <w:rtl/>
        </w:rPr>
        <w:t>בית</w:t>
      </w:r>
      <w:r>
        <w:rPr>
          <w:rtl/>
        </w:rPr>
        <w:t xml:space="preserve"> </w:t>
      </w:r>
      <w:r>
        <w:rPr>
          <w:rFonts w:hint="eastAsia"/>
          <w:rtl/>
        </w:rPr>
        <w:t>המשפט</w:t>
      </w:r>
      <w:r>
        <w:rPr>
          <w:rtl/>
        </w:rPr>
        <w:t xml:space="preserve"> </w:t>
      </w:r>
      <w:r>
        <w:rPr>
          <w:rFonts w:hint="eastAsia"/>
          <w:rtl/>
        </w:rPr>
        <w:t>ממתחם</w:t>
      </w:r>
      <w:r>
        <w:rPr>
          <w:rtl/>
        </w:rPr>
        <w:t xml:space="preserve"> </w:t>
      </w:r>
      <w:r>
        <w:rPr>
          <w:rFonts w:hint="eastAsia"/>
          <w:rtl/>
        </w:rPr>
        <w:t>העונש</w:t>
      </w:r>
      <w:r>
        <w:rPr>
          <w:rtl/>
        </w:rPr>
        <w:t xml:space="preserve"> </w:t>
      </w:r>
      <w:r>
        <w:rPr>
          <w:rFonts w:hint="eastAsia"/>
          <w:rtl/>
        </w:rPr>
        <w:t>ההולם</w:t>
      </w:r>
      <w:r>
        <w:rPr>
          <w:rtl/>
        </w:rPr>
        <w:t xml:space="preserve">, </w:t>
      </w:r>
      <w:r>
        <w:rPr>
          <w:rFonts w:hint="eastAsia"/>
          <w:rtl/>
        </w:rPr>
        <w:t>כאמור</w:t>
      </w:r>
      <w:r>
        <w:rPr>
          <w:rtl/>
        </w:rPr>
        <w:t xml:space="preserve"> </w:t>
      </w:r>
      <w:r>
        <w:rPr>
          <w:rFonts w:hint="eastAsia"/>
          <w:rtl/>
        </w:rPr>
        <w:t>בסעיף</w:t>
      </w:r>
      <w:r>
        <w:rPr>
          <w:rtl/>
        </w:rPr>
        <w:t xml:space="preserve"> </w:t>
      </w:r>
      <w:r>
        <w:rPr>
          <w:rFonts w:hint="eastAsia"/>
          <w:rtl/>
        </w:rPr>
        <w:t>קטן</w:t>
      </w:r>
      <w:r>
        <w:rPr>
          <w:rtl/>
        </w:rPr>
        <w:t xml:space="preserve"> (</w:t>
      </w:r>
      <w:r>
        <w:rPr>
          <w:rFonts w:hint="eastAsia"/>
          <w:rtl/>
        </w:rPr>
        <w:t>א</w:t>
      </w:r>
      <w:r>
        <w:rPr>
          <w:rtl/>
        </w:rPr>
        <w:t xml:space="preserve">), </w:t>
      </w:r>
      <w:r>
        <w:rPr>
          <w:rFonts w:hint="eastAsia"/>
          <w:rtl/>
        </w:rPr>
        <w:t>אף</w:t>
      </w:r>
      <w:r>
        <w:rPr>
          <w:rtl/>
        </w:rPr>
        <w:t xml:space="preserve"> </w:t>
      </w:r>
      <w:r>
        <w:rPr>
          <w:rFonts w:hint="eastAsia"/>
          <w:rtl/>
        </w:rPr>
        <w:t>אם</w:t>
      </w:r>
      <w:r>
        <w:rPr>
          <w:rtl/>
        </w:rPr>
        <w:t xml:space="preserve"> </w:t>
      </w:r>
      <w:r>
        <w:rPr>
          <w:rFonts w:hint="eastAsia"/>
          <w:rtl/>
        </w:rPr>
        <w:t>הנאשם</w:t>
      </w:r>
      <w:r>
        <w:rPr>
          <w:rtl/>
        </w:rPr>
        <w:t xml:space="preserve"> </w:t>
      </w:r>
      <w:r>
        <w:rPr>
          <w:rFonts w:hint="eastAsia"/>
          <w:rtl/>
        </w:rPr>
        <w:t>השתקם</w:t>
      </w:r>
      <w:r>
        <w:rPr>
          <w:rtl/>
        </w:rPr>
        <w:t xml:space="preserve"> </w:t>
      </w:r>
      <w:r>
        <w:rPr>
          <w:rFonts w:hint="eastAsia"/>
          <w:rtl/>
        </w:rPr>
        <w:t>או</w:t>
      </w:r>
      <w:r>
        <w:rPr>
          <w:rtl/>
        </w:rPr>
        <w:t xml:space="preserve"> </w:t>
      </w:r>
      <w:r>
        <w:rPr>
          <w:rFonts w:hint="eastAsia"/>
          <w:rtl/>
        </w:rPr>
        <w:t>אם</w:t>
      </w:r>
      <w:r>
        <w:rPr>
          <w:rtl/>
        </w:rPr>
        <w:t xml:space="preserve"> </w:t>
      </w:r>
      <w:r>
        <w:rPr>
          <w:rFonts w:hint="eastAsia"/>
          <w:rtl/>
        </w:rPr>
        <w:t>יש</w:t>
      </w:r>
      <w:r>
        <w:rPr>
          <w:rtl/>
        </w:rPr>
        <w:t xml:space="preserve"> </w:t>
      </w:r>
      <w:r>
        <w:rPr>
          <w:rFonts w:hint="eastAsia"/>
          <w:rtl/>
        </w:rPr>
        <w:t>סיכוי</w:t>
      </w:r>
      <w:r>
        <w:rPr>
          <w:rtl/>
        </w:rPr>
        <w:t xml:space="preserve"> </w:t>
      </w:r>
      <w:r>
        <w:rPr>
          <w:rFonts w:hint="eastAsia"/>
          <w:rtl/>
        </w:rPr>
        <w:t>של</w:t>
      </w:r>
      <w:r>
        <w:rPr>
          <w:rtl/>
        </w:rPr>
        <w:t xml:space="preserve"> </w:t>
      </w:r>
      <w:r>
        <w:rPr>
          <w:rFonts w:hint="eastAsia"/>
          <w:rtl/>
        </w:rPr>
        <w:t>ממש</w:t>
      </w:r>
      <w:r>
        <w:rPr>
          <w:rtl/>
        </w:rPr>
        <w:t xml:space="preserve"> </w:t>
      </w:r>
      <w:r>
        <w:rPr>
          <w:rFonts w:hint="eastAsia"/>
          <w:rtl/>
        </w:rPr>
        <w:t>שישתקם</w:t>
      </w:r>
      <w:r>
        <w:rPr>
          <w:rtl/>
        </w:rPr>
        <w:t xml:space="preserve">, </w:t>
      </w:r>
      <w:r w:rsidRPr="00D56CCD">
        <w:rPr>
          <w:rFonts w:ascii="Century" w:hAnsi="Century" w:cs="Miriam" w:hint="eastAsia"/>
          <w:b/>
          <w:spacing w:val="0"/>
          <w:szCs w:val="24"/>
          <w:rtl/>
        </w:rPr>
        <w:t>אלא</w:t>
      </w:r>
      <w:r w:rsidRPr="00D56CCD">
        <w:rPr>
          <w:rFonts w:ascii="Century" w:hAnsi="Century" w:cs="Miriam"/>
          <w:b/>
          <w:spacing w:val="0"/>
          <w:szCs w:val="24"/>
          <w:rtl/>
        </w:rPr>
        <w:t xml:space="preserve"> </w:t>
      </w:r>
      <w:r w:rsidRPr="00D56CCD">
        <w:rPr>
          <w:rFonts w:ascii="Century" w:hAnsi="Century" w:cs="Miriam" w:hint="eastAsia"/>
          <w:b/>
          <w:spacing w:val="0"/>
          <w:szCs w:val="24"/>
          <w:rtl/>
        </w:rPr>
        <w:t>בנסיבות</w:t>
      </w:r>
      <w:r w:rsidRPr="00D56CCD">
        <w:rPr>
          <w:rFonts w:ascii="Century" w:hAnsi="Century" w:cs="Miriam"/>
          <w:b/>
          <w:spacing w:val="0"/>
          <w:szCs w:val="24"/>
          <w:rtl/>
        </w:rPr>
        <w:t xml:space="preserve"> </w:t>
      </w:r>
      <w:r w:rsidRPr="00D56CCD">
        <w:rPr>
          <w:rFonts w:ascii="Century" w:hAnsi="Century" w:cs="Miriam" w:hint="eastAsia"/>
          <w:b/>
          <w:spacing w:val="0"/>
          <w:szCs w:val="24"/>
          <w:rtl/>
        </w:rPr>
        <w:t>מיוחדות</w:t>
      </w:r>
      <w:r w:rsidRPr="00D56CCD">
        <w:rPr>
          <w:rFonts w:ascii="Century" w:hAnsi="Century" w:cs="Miriam"/>
          <w:b/>
          <w:spacing w:val="0"/>
          <w:szCs w:val="24"/>
          <w:rtl/>
        </w:rPr>
        <w:t xml:space="preserve"> </w:t>
      </w:r>
      <w:r w:rsidRPr="00D56CCD">
        <w:rPr>
          <w:rFonts w:ascii="Century" w:hAnsi="Century" w:cs="Miriam" w:hint="eastAsia"/>
          <w:b/>
          <w:spacing w:val="0"/>
          <w:szCs w:val="24"/>
          <w:rtl/>
        </w:rPr>
        <w:t>ויוצאות</w:t>
      </w:r>
      <w:r w:rsidRPr="00D56CCD">
        <w:rPr>
          <w:rFonts w:ascii="Century" w:hAnsi="Century" w:cs="Miriam"/>
          <w:b/>
          <w:spacing w:val="0"/>
          <w:szCs w:val="24"/>
          <w:rtl/>
        </w:rPr>
        <w:t xml:space="preserve"> </w:t>
      </w:r>
      <w:r w:rsidRPr="00D56CCD">
        <w:rPr>
          <w:rFonts w:ascii="Century" w:hAnsi="Century" w:cs="Miriam" w:hint="eastAsia"/>
          <w:b/>
          <w:spacing w:val="0"/>
          <w:szCs w:val="24"/>
          <w:rtl/>
        </w:rPr>
        <w:t>דופן</w:t>
      </w:r>
      <w:r>
        <w:rPr>
          <w:rtl/>
        </w:rPr>
        <w:t xml:space="preserve">, </w:t>
      </w:r>
      <w:r>
        <w:rPr>
          <w:rFonts w:hint="eastAsia"/>
          <w:rtl/>
        </w:rPr>
        <w:t>לאחר</w:t>
      </w:r>
      <w:r>
        <w:rPr>
          <w:rtl/>
        </w:rPr>
        <w:t xml:space="preserve"> </w:t>
      </w:r>
      <w:r>
        <w:rPr>
          <w:rFonts w:hint="eastAsia"/>
          <w:rtl/>
        </w:rPr>
        <w:t>שבית</w:t>
      </w:r>
      <w:r>
        <w:rPr>
          <w:rtl/>
        </w:rPr>
        <w:t xml:space="preserve"> </w:t>
      </w:r>
      <w:r>
        <w:rPr>
          <w:rFonts w:hint="eastAsia"/>
          <w:rtl/>
        </w:rPr>
        <w:t>המשפט</w:t>
      </w:r>
      <w:r>
        <w:rPr>
          <w:rtl/>
        </w:rPr>
        <w:t xml:space="preserve"> </w:t>
      </w:r>
      <w:r>
        <w:rPr>
          <w:rFonts w:hint="eastAsia"/>
          <w:rtl/>
        </w:rPr>
        <w:t>שוכנע</w:t>
      </w:r>
      <w:r>
        <w:rPr>
          <w:rtl/>
        </w:rPr>
        <w:t xml:space="preserve"> </w:t>
      </w:r>
      <w:r>
        <w:rPr>
          <w:rFonts w:hint="eastAsia"/>
          <w:rtl/>
        </w:rPr>
        <w:t>שהן</w:t>
      </w:r>
      <w:r>
        <w:rPr>
          <w:rtl/>
        </w:rPr>
        <w:t xml:space="preserve"> </w:t>
      </w:r>
      <w:r>
        <w:rPr>
          <w:rFonts w:hint="eastAsia"/>
          <w:rtl/>
        </w:rPr>
        <w:t>גוברות</w:t>
      </w:r>
      <w:r>
        <w:rPr>
          <w:rtl/>
        </w:rPr>
        <w:t xml:space="preserve"> </w:t>
      </w:r>
      <w:r>
        <w:rPr>
          <w:rFonts w:hint="eastAsia"/>
          <w:rtl/>
        </w:rPr>
        <w:t>על</w:t>
      </w:r>
      <w:r>
        <w:rPr>
          <w:rtl/>
        </w:rPr>
        <w:t xml:space="preserve"> </w:t>
      </w:r>
      <w:r>
        <w:rPr>
          <w:rFonts w:hint="eastAsia"/>
          <w:rtl/>
        </w:rPr>
        <w:t>הצורך</w:t>
      </w:r>
      <w:r>
        <w:rPr>
          <w:rtl/>
        </w:rPr>
        <w:t xml:space="preserve"> </w:t>
      </w:r>
      <w:r>
        <w:rPr>
          <w:rFonts w:hint="eastAsia"/>
          <w:rtl/>
        </w:rPr>
        <w:t>לקבוע</w:t>
      </w:r>
      <w:r>
        <w:rPr>
          <w:rtl/>
        </w:rPr>
        <w:t xml:space="preserve"> </w:t>
      </w:r>
      <w:r>
        <w:rPr>
          <w:rFonts w:hint="eastAsia"/>
          <w:rtl/>
        </w:rPr>
        <w:t>את</w:t>
      </w:r>
      <w:r>
        <w:rPr>
          <w:rtl/>
        </w:rPr>
        <w:t xml:space="preserve"> </w:t>
      </w:r>
      <w:r>
        <w:rPr>
          <w:rFonts w:hint="eastAsia"/>
          <w:rtl/>
        </w:rPr>
        <w:t>העונש</w:t>
      </w:r>
      <w:r>
        <w:rPr>
          <w:rtl/>
        </w:rPr>
        <w:t xml:space="preserve"> </w:t>
      </w:r>
      <w:r>
        <w:rPr>
          <w:rFonts w:hint="eastAsia"/>
          <w:rtl/>
        </w:rPr>
        <w:t>במתחם</w:t>
      </w:r>
      <w:r>
        <w:rPr>
          <w:rtl/>
        </w:rPr>
        <w:t xml:space="preserve"> </w:t>
      </w:r>
      <w:r>
        <w:rPr>
          <w:rFonts w:hint="eastAsia"/>
          <w:rtl/>
        </w:rPr>
        <w:t>העונש</w:t>
      </w:r>
      <w:r>
        <w:rPr>
          <w:rtl/>
        </w:rPr>
        <w:t xml:space="preserve"> </w:t>
      </w:r>
      <w:r>
        <w:rPr>
          <w:rFonts w:hint="eastAsia"/>
          <w:rtl/>
        </w:rPr>
        <w:t>ההולם</w:t>
      </w:r>
      <w:r>
        <w:rPr>
          <w:rtl/>
        </w:rPr>
        <w:t xml:space="preserve"> </w:t>
      </w:r>
      <w:r>
        <w:rPr>
          <w:rFonts w:hint="eastAsia"/>
          <w:rtl/>
        </w:rPr>
        <w:t>בהתאם</w:t>
      </w:r>
      <w:r>
        <w:rPr>
          <w:rtl/>
        </w:rPr>
        <w:t xml:space="preserve"> </w:t>
      </w:r>
      <w:r>
        <w:rPr>
          <w:rFonts w:hint="eastAsia"/>
          <w:rtl/>
        </w:rPr>
        <w:t>לעיקרון</w:t>
      </w:r>
      <w:r>
        <w:rPr>
          <w:rtl/>
        </w:rPr>
        <w:t xml:space="preserve"> </w:t>
      </w:r>
      <w:r>
        <w:rPr>
          <w:rFonts w:hint="eastAsia"/>
          <w:rtl/>
        </w:rPr>
        <w:t>המנחה</w:t>
      </w:r>
      <w:r>
        <w:rPr>
          <w:rtl/>
        </w:rPr>
        <w:t xml:space="preserve">, </w:t>
      </w:r>
      <w:r>
        <w:rPr>
          <w:rFonts w:hint="eastAsia"/>
          <w:rtl/>
        </w:rPr>
        <w:t>ופירט</w:t>
      </w:r>
      <w:r>
        <w:rPr>
          <w:rtl/>
        </w:rPr>
        <w:t xml:space="preserve"> </w:t>
      </w:r>
      <w:r>
        <w:rPr>
          <w:rFonts w:hint="eastAsia"/>
          <w:rtl/>
        </w:rPr>
        <w:t>זאת</w:t>
      </w:r>
      <w:r>
        <w:rPr>
          <w:rtl/>
        </w:rPr>
        <w:t xml:space="preserve"> </w:t>
      </w:r>
      <w:r>
        <w:rPr>
          <w:rFonts w:hint="eastAsia"/>
          <w:rtl/>
        </w:rPr>
        <w:t>בגזר</w:t>
      </w:r>
      <w:r>
        <w:rPr>
          <w:rtl/>
        </w:rPr>
        <w:t xml:space="preserve"> </w:t>
      </w:r>
      <w:r>
        <w:rPr>
          <w:rFonts w:hint="eastAsia"/>
          <w:rtl/>
        </w:rPr>
        <w:t>הדין</w:t>
      </w:r>
      <w:r>
        <w:rPr>
          <w:rFonts w:hint="cs"/>
          <w:rtl/>
        </w:rPr>
        <w:t xml:space="preserve">" (ההדגשות הוספו </w:t>
      </w:r>
      <w:r>
        <w:rPr>
          <w:rtl/>
        </w:rPr>
        <w:t>–</w:t>
      </w:r>
      <w:r>
        <w:rPr>
          <w:rFonts w:hint="cs"/>
          <w:rtl/>
        </w:rPr>
        <w:t xml:space="preserve"> </w:t>
      </w:r>
      <w:r w:rsidRPr="000F0153">
        <w:rPr>
          <w:rFonts w:ascii="Century" w:hAnsi="Century" w:cs="Miriam" w:hint="cs"/>
          <w:b/>
          <w:spacing w:val="0"/>
          <w:szCs w:val="24"/>
          <w:rtl/>
        </w:rPr>
        <w:t>י' א'</w:t>
      </w:r>
      <w:r>
        <w:rPr>
          <w:rFonts w:hint="cs"/>
          <w:rtl/>
        </w:rPr>
        <w:t>).</w:t>
      </w:r>
    </w:p>
    <w:p w:rsidR="00292D3F" w:rsidRDefault="00292D3F" w:rsidP="00292D3F">
      <w:pPr>
        <w:pStyle w:val="Ruller41"/>
        <w:rPr>
          <w:rtl/>
        </w:rPr>
      </w:pPr>
    </w:p>
    <w:p w:rsidR="00292D3F" w:rsidRDefault="00292D3F" w:rsidP="00292D3F">
      <w:pPr>
        <w:pStyle w:val="Ruller41"/>
        <w:rPr>
          <w:rtl/>
        </w:rPr>
      </w:pPr>
      <w:r>
        <w:rPr>
          <w:rtl/>
        </w:rPr>
        <w:tab/>
      </w:r>
      <w:r>
        <w:rPr>
          <w:rFonts w:hint="cs"/>
          <w:rtl/>
        </w:rPr>
        <w:t xml:space="preserve">ההסדר הקבוע בסעיף זה מותנה אפוא בהתקיימות שני תנאים </w:t>
      </w:r>
      <w:r>
        <w:rPr>
          <w:rtl/>
        </w:rPr>
        <w:t>–</w:t>
      </w:r>
      <w:r>
        <w:rPr>
          <w:rFonts w:hint="cs"/>
          <w:rtl/>
        </w:rPr>
        <w:t xml:space="preserve"> כי מעשה העבירה בעל חומרה יתרה, וכי מידת אשמו של הנאשם בעלת חומרה יתרה. </w:t>
      </w:r>
      <w:r>
        <w:rPr>
          <w:rFonts w:ascii="FrankRuehl" w:hAnsi="FrankRuehl"/>
          <w:color w:val="000000"/>
          <w:sz w:val="28"/>
          <w:shd w:val="clear" w:color="auto" w:fill="FFFFFF"/>
          <w:rtl/>
        </w:rPr>
        <w:t>אין מדובר בשני תנאים מצטברים השווים במשקלם</w:t>
      </w:r>
      <w:r>
        <w:rPr>
          <w:rFonts w:ascii="FrankRuehl" w:hAnsi="FrankRuehl" w:hint="cs"/>
          <w:color w:val="000000"/>
          <w:sz w:val="28"/>
          <w:shd w:val="clear" w:color="auto" w:fill="FFFFFF"/>
          <w:rtl/>
        </w:rPr>
        <w:t xml:space="preserve">, אלא </w:t>
      </w:r>
      <w:r>
        <w:rPr>
          <w:rFonts w:ascii="FrankRuehl" w:hAnsi="FrankRuehl"/>
          <w:color w:val="000000"/>
          <w:sz w:val="28"/>
          <w:shd w:val="clear" w:color="auto" w:fill="FFFFFF"/>
          <w:rtl/>
        </w:rPr>
        <w:t xml:space="preserve">יש לבחון את קיומם כמכלול אחד, שבו מתקיים יחס של מקבילית כוחות בין שני התנאים: ככל שיש לייחס חומרה רבה יותר ליסוד של מעשה העבירה, כך נדרוש </w:t>
      </w:r>
      <w:r>
        <w:rPr>
          <w:rFonts w:ascii="FrankRuehl" w:hAnsi="FrankRuehl" w:hint="cs"/>
          <w:color w:val="000000"/>
          <w:sz w:val="28"/>
          <w:shd w:val="clear" w:color="auto" w:fill="FFFFFF"/>
          <w:rtl/>
        </w:rPr>
        <w:t>"</w:t>
      </w:r>
      <w:r>
        <w:rPr>
          <w:rFonts w:ascii="FrankRuehl" w:hAnsi="FrankRuehl"/>
          <w:color w:val="000000"/>
          <w:sz w:val="28"/>
          <w:shd w:val="clear" w:color="auto" w:fill="FFFFFF"/>
          <w:rtl/>
        </w:rPr>
        <w:t>חומרה יתרה</w:t>
      </w:r>
      <w:r>
        <w:rPr>
          <w:rFonts w:ascii="FrankRuehl" w:hAnsi="FrankRuehl" w:hint="cs"/>
          <w:color w:val="000000"/>
          <w:sz w:val="28"/>
          <w:shd w:val="clear" w:color="auto" w:fill="FFFFFF"/>
          <w:rtl/>
        </w:rPr>
        <w:t>"</w:t>
      </w:r>
      <w:r>
        <w:rPr>
          <w:rFonts w:ascii="FrankRuehl" w:hAnsi="FrankRuehl"/>
          <w:color w:val="000000"/>
          <w:sz w:val="28"/>
          <w:shd w:val="clear" w:color="auto" w:fill="FFFFFF"/>
          <w:rtl/>
        </w:rPr>
        <w:t xml:space="preserve"> בדרגה פחותה יותר ליסוד של מידת האשם, </w:t>
      </w:r>
      <w:r>
        <w:rPr>
          <w:rFonts w:ascii="FrankRuehl" w:hAnsi="FrankRuehl" w:hint="cs"/>
          <w:color w:val="000000"/>
          <w:sz w:val="28"/>
          <w:shd w:val="clear" w:color="auto" w:fill="FFFFFF"/>
          <w:rtl/>
        </w:rPr>
        <w:t>ולהיפך (</w:t>
      </w:r>
      <w:r w:rsidRPr="00AB5A56">
        <w:rPr>
          <w:rFonts w:hint="eastAsia"/>
          <w:rtl/>
        </w:rPr>
        <w:t>ע</w:t>
      </w:r>
      <w:r w:rsidRPr="00AB5A56">
        <w:rPr>
          <w:rtl/>
        </w:rPr>
        <w:t>"</w:t>
      </w:r>
      <w:r w:rsidRPr="00AB5A56">
        <w:rPr>
          <w:rFonts w:hint="eastAsia"/>
          <w:rtl/>
        </w:rPr>
        <w:t>פ</w:t>
      </w:r>
      <w:r w:rsidRPr="00AB5A56">
        <w:rPr>
          <w:rtl/>
        </w:rPr>
        <w:t xml:space="preserve"> 6637/17 </w:t>
      </w:r>
      <w:proofErr w:type="spellStart"/>
      <w:r w:rsidRPr="00AB5A56">
        <w:rPr>
          <w:rFonts w:ascii="Century" w:hAnsi="Century" w:cs="Miriam" w:hint="eastAsia"/>
          <w:b/>
          <w:spacing w:val="0"/>
          <w:szCs w:val="24"/>
          <w:rtl/>
        </w:rPr>
        <w:t>קרנדל</w:t>
      </w:r>
      <w:proofErr w:type="spellEnd"/>
      <w:r w:rsidRPr="00AB5A56">
        <w:rPr>
          <w:rFonts w:ascii="Century" w:hAnsi="Century" w:cs="Miriam"/>
          <w:b/>
          <w:spacing w:val="0"/>
          <w:szCs w:val="24"/>
          <w:rtl/>
        </w:rPr>
        <w:t xml:space="preserve"> </w:t>
      </w:r>
      <w:r w:rsidRPr="00AB5A56">
        <w:rPr>
          <w:rFonts w:ascii="Century" w:hAnsi="Century" w:cs="Miriam" w:hint="eastAsia"/>
          <w:b/>
          <w:spacing w:val="0"/>
          <w:szCs w:val="24"/>
          <w:rtl/>
        </w:rPr>
        <w:t>נ</w:t>
      </w:r>
      <w:r w:rsidRPr="00AB5A56">
        <w:rPr>
          <w:rFonts w:ascii="Century" w:hAnsi="Century" w:cs="Miriam"/>
          <w:b/>
          <w:spacing w:val="0"/>
          <w:szCs w:val="24"/>
          <w:rtl/>
        </w:rPr>
        <w:t xml:space="preserve">' </w:t>
      </w:r>
      <w:r w:rsidRPr="00AB5A56">
        <w:rPr>
          <w:rFonts w:ascii="Century" w:hAnsi="Century" w:cs="Miriam" w:hint="eastAsia"/>
          <w:b/>
          <w:spacing w:val="0"/>
          <w:szCs w:val="24"/>
          <w:rtl/>
        </w:rPr>
        <w:t>מדינת</w:t>
      </w:r>
      <w:r w:rsidRPr="00AB5A56">
        <w:rPr>
          <w:rFonts w:ascii="Century" w:hAnsi="Century" w:cs="Miriam"/>
          <w:b/>
          <w:spacing w:val="0"/>
          <w:szCs w:val="24"/>
          <w:rtl/>
        </w:rPr>
        <w:t xml:space="preserve"> </w:t>
      </w:r>
      <w:r w:rsidRPr="00AB5A56">
        <w:rPr>
          <w:rFonts w:ascii="Century" w:hAnsi="Century" w:cs="Miriam" w:hint="eastAsia"/>
          <w:b/>
          <w:spacing w:val="0"/>
          <w:szCs w:val="24"/>
          <w:rtl/>
        </w:rPr>
        <w:t>ישראל</w:t>
      </w:r>
      <w:r>
        <w:rPr>
          <w:rFonts w:hint="cs"/>
          <w:rtl/>
        </w:rPr>
        <w:t xml:space="preserve">, פסקה 5 לחוות דעתי </w:t>
      </w:r>
      <w:r w:rsidRPr="00AB5A56">
        <w:rPr>
          <w:rtl/>
        </w:rPr>
        <w:t>(18.</w:t>
      </w:r>
      <w:r>
        <w:rPr>
          <w:rFonts w:hint="cs"/>
          <w:rtl/>
        </w:rPr>
        <w:t>4</w:t>
      </w:r>
      <w:r w:rsidRPr="00AB5A56">
        <w:rPr>
          <w:rtl/>
        </w:rPr>
        <w:t>.2018)</w:t>
      </w:r>
      <w:r>
        <w:rPr>
          <w:rFonts w:hint="cs"/>
          <w:rtl/>
        </w:rPr>
        <w:t xml:space="preserve">). בהתקיים שני התנאים האמורים, </w:t>
      </w:r>
      <w:r w:rsidRPr="00043D47">
        <w:rPr>
          <w:rFonts w:ascii="Century" w:hAnsi="Century" w:cs="Miriam" w:hint="cs"/>
          <w:b/>
          <w:spacing w:val="0"/>
          <w:szCs w:val="24"/>
          <w:rtl/>
        </w:rPr>
        <w:t>ברירת המחדל</w:t>
      </w:r>
      <w:r>
        <w:rPr>
          <w:rFonts w:hint="cs"/>
          <w:rtl/>
        </w:rPr>
        <w:t xml:space="preserve"> היא שלא לאפשר חריגה </w:t>
      </w:r>
      <w:r>
        <w:rPr>
          <w:rFonts w:hint="cs"/>
          <w:rtl/>
        </w:rPr>
        <w:lastRenderedPageBreak/>
        <w:t xml:space="preserve">ממתחם העונש ההולם אף במקרה שבו הנאשם השתקם או כי יש סיכוי של ממש שישתקם. אולם, גם במצב זה, המחוקק הותיר בכל זאת אפשרות לחרוג לקולה מהמתחם, כאשר מתקיימות </w:t>
      </w:r>
      <w:r w:rsidRPr="00043D47">
        <w:rPr>
          <w:rFonts w:ascii="Century" w:hAnsi="Century" w:cs="Miriam" w:hint="cs"/>
          <w:b/>
          <w:spacing w:val="0"/>
          <w:szCs w:val="24"/>
          <w:rtl/>
        </w:rPr>
        <w:t>נסיבות מיוחדות ויוצאות דופן</w:t>
      </w:r>
      <w:r>
        <w:rPr>
          <w:rFonts w:hint="cs"/>
          <w:rtl/>
        </w:rPr>
        <w:t xml:space="preserve">, אשר בית המשפט </w:t>
      </w:r>
      <w:r w:rsidRPr="00A643F1">
        <w:rPr>
          <w:rFonts w:ascii="Century" w:hAnsi="Century" w:cs="Miriam" w:hint="cs"/>
          <w:b/>
          <w:spacing w:val="0"/>
          <w:szCs w:val="24"/>
          <w:rtl/>
        </w:rPr>
        <w:t>השתכנע</w:t>
      </w:r>
      <w:r w:rsidRPr="00A643F1">
        <w:rPr>
          <w:rFonts w:hint="cs"/>
          <w:rtl/>
        </w:rPr>
        <w:t xml:space="preserve"> </w:t>
      </w:r>
      <w:r>
        <w:rPr>
          <w:rFonts w:hint="cs"/>
          <w:rtl/>
        </w:rPr>
        <w:t xml:space="preserve">ונימק כי הן גוברות על הצורך לקבוע את העונש בגדרי המתחם. במקום אחר, הרחיב חברי, השופט </w:t>
      </w:r>
      <w:r w:rsidRPr="002820BC">
        <w:rPr>
          <w:rFonts w:ascii="Century" w:hAnsi="Century" w:cs="Miriam" w:hint="cs"/>
          <w:b/>
          <w:spacing w:val="0"/>
          <w:szCs w:val="24"/>
          <w:rtl/>
        </w:rPr>
        <w:t>א' שטיין</w:t>
      </w:r>
      <w:r>
        <w:rPr>
          <w:rFonts w:hint="cs"/>
          <w:rtl/>
        </w:rPr>
        <w:t xml:space="preserve">, בדבר טיבן של אותן הנסיבות המיוחדות: </w:t>
      </w:r>
    </w:p>
    <w:p w:rsidR="00292D3F" w:rsidRDefault="00292D3F" w:rsidP="00292D3F">
      <w:pPr>
        <w:pStyle w:val="Ruller41"/>
        <w:rPr>
          <w:rtl/>
        </w:rPr>
      </w:pPr>
    </w:p>
    <w:p w:rsidR="00292D3F" w:rsidRDefault="00292D3F" w:rsidP="00292D3F">
      <w:pPr>
        <w:pStyle w:val="Ruller5"/>
        <w:rPr>
          <w:rtl/>
        </w:rPr>
      </w:pPr>
      <w:r>
        <w:rPr>
          <w:rtl/>
        </w:rPr>
        <w:t>"</w:t>
      </w:r>
      <w:r>
        <w:rPr>
          <w:rFonts w:hint="eastAsia"/>
          <w:rtl/>
        </w:rPr>
        <w:t>בעניין</w:t>
      </w:r>
      <w:r>
        <w:rPr>
          <w:rtl/>
        </w:rPr>
        <w:t xml:space="preserve"> </w:t>
      </w:r>
      <w:r>
        <w:rPr>
          <w:rFonts w:hint="eastAsia"/>
          <w:rtl/>
        </w:rPr>
        <w:t>זה</w:t>
      </w:r>
      <w:r>
        <w:rPr>
          <w:rtl/>
        </w:rPr>
        <w:t xml:space="preserve">, </w:t>
      </w:r>
      <w:r>
        <w:rPr>
          <w:rFonts w:hint="eastAsia"/>
          <w:rtl/>
        </w:rPr>
        <w:t>חשוב</w:t>
      </w:r>
      <w:r>
        <w:rPr>
          <w:rtl/>
        </w:rPr>
        <w:t xml:space="preserve"> </w:t>
      </w:r>
      <w:r>
        <w:rPr>
          <w:rFonts w:hint="eastAsia"/>
          <w:rtl/>
        </w:rPr>
        <w:t>להדגיש</w:t>
      </w:r>
      <w:r>
        <w:rPr>
          <w:rtl/>
        </w:rPr>
        <w:t xml:space="preserve"> </w:t>
      </w:r>
      <w:r>
        <w:rPr>
          <w:rFonts w:hint="eastAsia"/>
          <w:rtl/>
        </w:rPr>
        <w:t>כי</w:t>
      </w:r>
      <w:r>
        <w:rPr>
          <w:rtl/>
        </w:rPr>
        <w:t xml:space="preserve"> </w:t>
      </w:r>
      <w:r>
        <w:rPr>
          <w:rFonts w:hint="cs"/>
          <w:rtl/>
        </w:rPr>
        <w:t>'</w:t>
      </w:r>
      <w:r>
        <w:rPr>
          <w:rFonts w:hint="eastAsia"/>
          <w:rtl/>
        </w:rPr>
        <w:t>נסיבות</w:t>
      </w:r>
      <w:r>
        <w:rPr>
          <w:rtl/>
        </w:rPr>
        <w:t xml:space="preserve"> </w:t>
      </w:r>
      <w:r>
        <w:rPr>
          <w:rFonts w:hint="eastAsia"/>
          <w:rtl/>
        </w:rPr>
        <w:t>מיוחדות</w:t>
      </w:r>
      <w:r>
        <w:rPr>
          <w:rtl/>
        </w:rPr>
        <w:t xml:space="preserve"> </w:t>
      </w:r>
      <w:r>
        <w:rPr>
          <w:rFonts w:hint="eastAsia"/>
          <w:rtl/>
        </w:rPr>
        <w:t>ויוצאות</w:t>
      </w:r>
      <w:r>
        <w:rPr>
          <w:rtl/>
        </w:rPr>
        <w:t xml:space="preserve"> </w:t>
      </w:r>
      <w:r>
        <w:rPr>
          <w:rFonts w:hint="eastAsia"/>
          <w:rtl/>
        </w:rPr>
        <w:t>דופן</w:t>
      </w:r>
      <w:r>
        <w:rPr>
          <w:rFonts w:hint="cs"/>
          <w:rtl/>
        </w:rPr>
        <w:t>'</w:t>
      </w:r>
      <w:r>
        <w:rPr>
          <w:rtl/>
        </w:rPr>
        <w:t xml:space="preserve"> </w:t>
      </w:r>
      <w:r>
        <w:rPr>
          <w:rFonts w:hint="eastAsia"/>
          <w:rtl/>
        </w:rPr>
        <w:t>אשר</w:t>
      </w:r>
      <w:r>
        <w:rPr>
          <w:rtl/>
        </w:rPr>
        <w:t xml:space="preserve"> </w:t>
      </w:r>
      <w:r>
        <w:rPr>
          <w:rFonts w:hint="eastAsia"/>
          <w:rtl/>
        </w:rPr>
        <w:t>נדרשות</w:t>
      </w:r>
      <w:r>
        <w:rPr>
          <w:rtl/>
        </w:rPr>
        <w:t xml:space="preserve"> </w:t>
      </w:r>
      <w:r>
        <w:rPr>
          <w:rFonts w:hint="eastAsia"/>
          <w:rtl/>
        </w:rPr>
        <w:t>כאן</w:t>
      </w:r>
      <w:r>
        <w:rPr>
          <w:rtl/>
        </w:rPr>
        <w:t xml:space="preserve"> </w:t>
      </w:r>
      <w:r>
        <w:rPr>
          <w:rFonts w:hint="eastAsia"/>
          <w:rtl/>
        </w:rPr>
        <w:t>באות</w:t>
      </w:r>
      <w:r>
        <w:rPr>
          <w:rtl/>
        </w:rPr>
        <w:t xml:space="preserve"> </w:t>
      </w:r>
      <w:r>
        <w:rPr>
          <w:rFonts w:hint="eastAsia"/>
          <w:rtl/>
        </w:rPr>
        <w:t>להוסיף</w:t>
      </w:r>
      <w:r>
        <w:rPr>
          <w:rtl/>
        </w:rPr>
        <w:t xml:space="preserve"> </w:t>
      </w:r>
      <w:r>
        <w:rPr>
          <w:rFonts w:hint="eastAsia"/>
          <w:rtl/>
        </w:rPr>
        <w:t>על</w:t>
      </w:r>
      <w:r>
        <w:rPr>
          <w:rtl/>
        </w:rPr>
        <w:t xml:space="preserve"> </w:t>
      </w:r>
      <w:r>
        <w:rPr>
          <w:rFonts w:hint="eastAsia"/>
          <w:rtl/>
        </w:rPr>
        <w:t>עצם</w:t>
      </w:r>
      <w:r>
        <w:rPr>
          <w:rtl/>
        </w:rPr>
        <w:t xml:space="preserve"> </w:t>
      </w:r>
      <w:r>
        <w:rPr>
          <w:rFonts w:hint="eastAsia"/>
          <w:rtl/>
        </w:rPr>
        <w:t>קיומו</w:t>
      </w:r>
      <w:r>
        <w:rPr>
          <w:rtl/>
        </w:rPr>
        <w:t xml:space="preserve"> </w:t>
      </w:r>
      <w:r>
        <w:rPr>
          <w:rFonts w:hint="eastAsia"/>
          <w:rtl/>
        </w:rPr>
        <w:t>של</w:t>
      </w:r>
      <w:r>
        <w:rPr>
          <w:rtl/>
        </w:rPr>
        <w:t xml:space="preserve"> </w:t>
      </w:r>
      <w:r>
        <w:rPr>
          <w:rFonts w:hint="eastAsia"/>
          <w:rtl/>
        </w:rPr>
        <w:t>שיקום</w:t>
      </w:r>
      <w:r>
        <w:rPr>
          <w:rtl/>
        </w:rPr>
        <w:t xml:space="preserve"> </w:t>
      </w:r>
      <w:r>
        <w:rPr>
          <w:rFonts w:hint="eastAsia"/>
          <w:rtl/>
        </w:rPr>
        <w:t>שעלה</w:t>
      </w:r>
      <w:r>
        <w:rPr>
          <w:rtl/>
        </w:rPr>
        <w:t xml:space="preserve"> </w:t>
      </w:r>
      <w:r>
        <w:rPr>
          <w:rFonts w:hint="eastAsia"/>
          <w:rtl/>
        </w:rPr>
        <w:t>יפה</w:t>
      </w:r>
      <w:r>
        <w:rPr>
          <w:rtl/>
        </w:rPr>
        <w:t xml:space="preserve"> </w:t>
      </w:r>
      <w:r>
        <w:rPr>
          <w:rFonts w:hint="eastAsia"/>
          <w:rtl/>
        </w:rPr>
        <w:t>וכי</w:t>
      </w:r>
      <w:r>
        <w:rPr>
          <w:rtl/>
        </w:rPr>
        <w:t xml:space="preserve"> </w:t>
      </w:r>
      <w:r>
        <w:rPr>
          <w:rFonts w:hint="eastAsia"/>
          <w:rtl/>
        </w:rPr>
        <w:t>תוספת</w:t>
      </w:r>
      <w:r>
        <w:rPr>
          <w:rtl/>
        </w:rPr>
        <w:t xml:space="preserve"> </w:t>
      </w:r>
      <w:r>
        <w:rPr>
          <w:rFonts w:hint="eastAsia"/>
          <w:rtl/>
        </w:rPr>
        <w:t>זו</w:t>
      </w:r>
      <w:r>
        <w:rPr>
          <w:rtl/>
        </w:rPr>
        <w:t xml:space="preserve"> </w:t>
      </w:r>
      <w:r>
        <w:rPr>
          <w:rFonts w:hint="eastAsia"/>
          <w:rtl/>
        </w:rPr>
        <w:t>חייבת</w:t>
      </w:r>
      <w:r>
        <w:rPr>
          <w:rtl/>
        </w:rPr>
        <w:t xml:space="preserve"> </w:t>
      </w:r>
      <w:r>
        <w:rPr>
          <w:rFonts w:hint="eastAsia"/>
          <w:rtl/>
        </w:rPr>
        <w:t>להיות</w:t>
      </w:r>
      <w:r>
        <w:rPr>
          <w:rtl/>
        </w:rPr>
        <w:t xml:space="preserve"> </w:t>
      </w:r>
      <w:r>
        <w:rPr>
          <w:rFonts w:hint="eastAsia"/>
          <w:rtl/>
        </w:rPr>
        <w:t>מהותית</w:t>
      </w:r>
      <w:r>
        <w:rPr>
          <w:rtl/>
        </w:rPr>
        <w:t xml:space="preserve"> </w:t>
      </w:r>
      <w:r>
        <w:rPr>
          <w:rFonts w:hint="eastAsia"/>
          <w:rtl/>
        </w:rPr>
        <w:t>ביותר</w:t>
      </w:r>
      <w:r>
        <w:rPr>
          <w:rtl/>
        </w:rPr>
        <w:t xml:space="preserve"> – </w:t>
      </w:r>
      <w:proofErr w:type="spellStart"/>
      <w:r>
        <w:rPr>
          <w:rFonts w:hint="eastAsia"/>
          <w:rtl/>
        </w:rPr>
        <w:t>בכגון</w:t>
      </w:r>
      <w:proofErr w:type="spellEnd"/>
      <w:r>
        <w:rPr>
          <w:rtl/>
        </w:rPr>
        <w:t xml:space="preserve"> </w:t>
      </w:r>
      <w:r>
        <w:rPr>
          <w:rFonts w:hint="eastAsia"/>
          <w:rtl/>
        </w:rPr>
        <w:t>דא</w:t>
      </w:r>
      <w:r>
        <w:rPr>
          <w:rtl/>
        </w:rPr>
        <w:t xml:space="preserve"> </w:t>
      </w:r>
      <w:r>
        <w:rPr>
          <w:rFonts w:hint="eastAsia"/>
          <w:rtl/>
        </w:rPr>
        <w:t>לא</w:t>
      </w:r>
      <w:r>
        <w:rPr>
          <w:rtl/>
        </w:rPr>
        <w:t xml:space="preserve"> </w:t>
      </w:r>
      <w:r>
        <w:rPr>
          <w:rFonts w:hint="eastAsia"/>
          <w:rtl/>
        </w:rPr>
        <w:t>נוכל</w:t>
      </w:r>
      <w:r>
        <w:rPr>
          <w:rtl/>
        </w:rPr>
        <w:t xml:space="preserve"> </w:t>
      </w:r>
      <w:r>
        <w:rPr>
          <w:rFonts w:hint="eastAsia"/>
          <w:rtl/>
        </w:rPr>
        <w:t>להסתפק</w:t>
      </w:r>
      <w:r>
        <w:rPr>
          <w:rtl/>
        </w:rPr>
        <w:t xml:space="preserve"> </w:t>
      </w:r>
      <w:r>
        <w:rPr>
          <w:rFonts w:hint="eastAsia"/>
          <w:rtl/>
        </w:rPr>
        <w:t>בפחות</w:t>
      </w:r>
      <w:r>
        <w:rPr>
          <w:rtl/>
        </w:rPr>
        <w:t xml:space="preserve"> </w:t>
      </w:r>
      <w:r>
        <w:rPr>
          <w:rFonts w:hint="eastAsia"/>
          <w:rtl/>
        </w:rPr>
        <w:t>ממהפך</w:t>
      </w:r>
      <w:r>
        <w:rPr>
          <w:rtl/>
        </w:rPr>
        <w:t xml:space="preserve"> </w:t>
      </w:r>
      <w:r>
        <w:rPr>
          <w:rFonts w:hint="eastAsia"/>
          <w:rtl/>
        </w:rPr>
        <w:t>מוכח</w:t>
      </w:r>
      <w:r>
        <w:rPr>
          <w:rtl/>
        </w:rPr>
        <w:t xml:space="preserve"> </w:t>
      </w:r>
      <w:r>
        <w:rPr>
          <w:rFonts w:hint="eastAsia"/>
          <w:rtl/>
        </w:rPr>
        <w:t>באישיותו</w:t>
      </w:r>
      <w:r>
        <w:rPr>
          <w:rtl/>
        </w:rPr>
        <w:t xml:space="preserve">, </w:t>
      </w:r>
      <w:r>
        <w:rPr>
          <w:rFonts w:hint="eastAsia"/>
          <w:rtl/>
        </w:rPr>
        <w:t>בתפיסותיו</w:t>
      </w:r>
      <w:r>
        <w:rPr>
          <w:rtl/>
        </w:rPr>
        <w:t xml:space="preserve"> </w:t>
      </w:r>
      <w:r>
        <w:rPr>
          <w:rFonts w:hint="eastAsia"/>
          <w:rtl/>
        </w:rPr>
        <w:t>ובהלכותיו</w:t>
      </w:r>
      <w:r>
        <w:rPr>
          <w:rtl/>
        </w:rPr>
        <w:t xml:space="preserve"> </w:t>
      </w:r>
      <w:r>
        <w:rPr>
          <w:rFonts w:hint="eastAsia"/>
          <w:rtl/>
        </w:rPr>
        <w:t>של</w:t>
      </w:r>
      <w:r>
        <w:rPr>
          <w:rtl/>
        </w:rPr>
        <w:t xml:space="preserve"> </w:t>
      </w:r>
      <w:r>
        <w:rPr>
          <w:rFonts w:hint="eastAsia"/>
          <w:rtl/>
        </w:rPr>
        <w:t>העבריין</w:t>
      </w:r>
      <w:r>
        <w:rPr>
          <w:rFonts w:hint="cs"/>
          <w:rtl/>
        </w:rPr>
        <w:t>"</w:t>
      </w:r>
      <w:r w:rsidRPr="00FB566D">
        <w:rPr>
          <w:rFonts w:hint="eastAsia"/>
          <w:rtl/>
        </w:rPr>
        <w:t xml:space="preserve"> </w:t>
      </w:r>
      <w:r>
        <w:rPr>
          <w:rFonts w:hint="cs"/>
          <w:rtl/>
        </w:rPr>
        <w:t>(</w:t>
      </w:r>
      <w:r w:rsidRPr="00FB566D">
        <w:rPr>
          <w:rFonts w:hint="eastAsia"/>
          <w:rtl/>
        </w:rPr>
        <w:t>ע</w:t>
      </w:r>
      <w:r w:rsidRPr="00FB566D">
        <w:rPr>
          <w:rtl/>
        </w:rPr>
        <w:t>"</w:t>
      </w:r>
      <w:r w:rsidRPr="00FB566D">
        <w:rPr>
          <w:rFonts w:hint="eastAsia"/>
          <w:rtl/>
        </w:rPr>
        <w:t>פ</w:t>
      </w:r>
      <w:r w:rsidRPr="00FB566D">
        <w:rPr>
          <w:rtl/>
        </w:rPr>
        <w:t xml:space="preserve"> 5579/19 </w:t>
      </w:r>
      <w:r w:rsidRPr="00FB566D">
        <w:rPr>
          <w:rFonts w:ascii="Century" w:hAnsi="Century" w:cs="Miriam" w:hint="eastAsia"/>
          <w:b/>
          <w:spacing w:val="0"/>
          <w:szCs w:val="24"/>
          <w:rtl/>
        </w:rPr>
        <w:t>מדינת</w:t>
      </w:r>
      <w:r w:rsidRPr="00FB566D">
        <w:rPr>
          <w:rFonts w:ascii="Century" w:hAnsi="Century" w:cs="Miriam"/>
          <w:b/>
          <w:spacing w:val="0"/>
          <w:szCs w:val="24"/>
          <w:rtl/>
        </w:rPr>
        <w:t xml:space="preserve"> </w:t>
      </w:r>
      <w:r w:rsidRPr="00FB566D">
        <w:rPr>
          <w:rFonts w:ascii="Century" w:hAnsi="Century" w:cs="Miriam" w:hint="eastAsia"/>
          <w:b/>
          <w:spacing w:val="0"/>
          <w:szCs w:val="24"/>
          <w:rtl/>
        </w:rPr>
        <w:t>ישראל</w:t>
      </w:r>
      <w:r w:rsidRPr="00FB566D">
        <w:rPr>
          <w:rFonts w:ascii="Century" w:hAnsi="Century" w:cs="Miriam"/>
          <w:b/>
          <w:spacing w:val="0"/>
          <w:szCs w:val="24"/>
          <w:rtl/>
        </w:rPr>
        <w:t xml:space="preserve"> </w:t>
      </w:r>
      <w:r w:rsidRPr="00FB566D">
        <w:rPr>
          <w:rFonts w:ascii="Century" w:hAnsi="Century" w:cs="Miriam" w:hint="eastAsia"/>
          <w:b/>
          <w:spacing w:val="0"/>
          <w:szCs w:val="24"/>
          <w:rtl/>
        </w:rPr>
        <w:t>נ</w:t>
      </w:r>
      <w:r w:rsidRPr="00FB566D">
        <w:rPr>
          <w:rFonts w:ascii="Century" w:hAnsi="Century" w:cs="Miriam"/>
          <w:b/>
          <w:spacing w:val="0"/>
          <w:szCs w:val="24"/>
          <w:rtl/>
        </w:rPr>
        <w:t xml:space="preserve">' </w:t>
      </w:r>
      <w:r w:rsidRPr="00FB566D">
        <w:rPr>
          <w:rFonts w:ascii="Century" w:hAnsi="Century" w:cs="Miriam" w:hint="eastAsia"/>
          <w:b/>
          <w:spacing w:val="0"/>
          <w:szCs w:val="24"/>
          <w:rtl/>
        </w:rPr>
        <w:t>מלחם</w:t>
      </w:r>
      <w:r>
        <w:rPr>
          <w:rFonts w:hint="cs"/>
          <w:rtl/>
        </w:rPr>
        <w:t xml:space="preserve">, פסקה 8 </w:t>
      </w:r>
      <w:r w:rsidRPr="00FB566D">
        <w:rPr>
          <w:rtl/>
        </w:rPr>
        <w:t>(</w:t>
      </w:r>
      <w:r>
        <w:rPr>
          <w:rFonts w:hint="cs"/>
          <w:rtl/>
        </w:rPr>
        <w:t>9</w:t>
      </w:r>
      <w:r w:rsidRPr="00FB566D">
        <w:rPr>
          <w:rtl/>
        </w:rPr>
        <w:t>.</w:t>
      </w:r>
      <w:r>
        <w:rPr>
          <w:rFonts w:hint="cs"/>
          <w:rtl/>
        </w:rPr>
        <w:t>2</w:t>
      </w:r>
      <w:r w:rsidRPr="00FB566D">
        <w:rPr>
          <w:rtl/>
        </w:rPr>
        <w:t>.2020)</w:t>
      </w:r>
      <w:r>
        <w:rPr>
          <w:rFonts w:hint="cs"/>
          <w:rtl/>
        </w:rPr>
        <w:t>).</w:t>
      </w:r>
    </w:p>
    <w:p w:rsidR="00292D3F" w:rsidRDefault="00292D3F" w:rsidP="00292D3F">
      <w:pPr>
        <w:pStyle w:val="Ruller41"/>
        <w:rPr>
          <w:rtl/>
        </w:rPr>
      </w:pPr>
    </w:p>
    <w:p w:rsidR="00292D3F" w:rsidRDefault="00292D3F" w:rsidP="00292D3F">
      <w:pPr>
        <w:pStyle w:val="Ruller41"/>
        <w:rPr>
          <w:rtl/>
        </w:rPr>
      </w:pPr>
      <w:r>
        <w:rPr>
          <w:rtl/>
        </w:rPr>
        <w:tab/>
      </w:r>
      <w:r>
        <w:rPr>
          <w:rFonts w:hint="cs"/>
          <w:rtl/>
        </w:rPr>
        <w:t>אם כן, גם בעבירות הנושאות חומרה יתרה לא ננעל השער בפני הנאשם, ונותר שיקול דעת בידי בית המשפט לחרוג לקולה ממתחם העונש ההולם. עם זאת, מפאת חומרת העבירה ומידת אשמו של הנאשם, מקרים אלו י</w:t>
      </w:r>
      <w:r w:rsidR="00FD4679">
        <w:rPr>
          <w:rFonts w:hint="cs"/>
          <w:rtl/>
        </w:rPr>
        <w:t>היו נדירים ורק כאשר מתקיימות בהם</w:t>
      </w:r>
      <w:r>
        <w:rPr>
          <w:rFonts w:hint="cs"/>
          <w:rtl/>
        </w:rPr>
        <w:t xml:space="preserve"> כאמור </w:t>
      </w:r>
      <w:r w:rsidRPr="00291937">
        <w:rPr>
          <w:rFonts w:ascii="Century" w:hAnsi="Century" w:cs="Miriam" w:hint="cs"/>
          <w:b/>
          <w:spacing w:val="0"/>
          <w:szCs w:val="24"/>
          <w:rtl/>
        </w:rPr>
        <w:t>נסיבות יוצאות דופן</w:t>
      </w:r>
      <w:r>
        <w:rPr>
          <w:rFonts w:hint="cs"/>
          <w:rtl/>
        </w:rPr>
        <w:t>. זאת כאשר גם בגדרי סעיף 40ד(ב) לחוק "</w:t>
      </w:r>
      <w:r w:rsidRPr="004E003D">
        <w:rPr>
          <w:rFonts w:ascii="Century" w:hAnsi="Century" w:cs="Miriam" w:hint="eastAsia"/>
          <w:b/>
          <w:spacing w:val="0"/>
          <w:szCs w:val="24"/>
          <w:rtl/>
        </w:rPr>
        <w:t>ככל</w:t>
      </w:r>
      <w:r w:rsidRPr="004E003D">
        <w:rPr>
          <w:rFonts w:ascii="Century" w:hAnsi="Century" w:cs="Miriam"/>
          <w:b/>
          <w:spacing w:val="0"/>
          <w:szCs w:val="24"/>
          <w:rtl/>
        </w:rPr>
        <w:t xml:space="preserve"> </w:t>
      </w:r>
      <w:r w:rsidRPr="004E003D">
        <w:rPr>
          <w:rFonts w:ascii="Century" w:hAnsi="Century" w:cs="Miriam" w:hint="eastAsia"/>
          <w:b/>
          <w:spacing w:val="0"/>
          <w:szCs w:val="24"/>
          <w:rtl/>
        </w:rPr>
        <w:t>שהעבירה</w:t>
      </w:r>
      <w:r w:rsidRPr="004E003D">
        <w:rPr>
          <w:rFonts w:ascii="Century" w:hAnsi="Century" w:cs="Miriam"/>
          <w:b/>
          <w:spacing w:val="0"/>
          <w:szCs w:val="24"/>
          <w:rtl/>
        </w:rPr>
        <w:t xml:space="preserve"> </w:t>
      </w:r>
      <w:r w:rsidRPr="004E003D">
        <w:rPr>
          <w:rFonts w:ascii="Century" w:hAnsi="Century" w:cs="Miriam" w:hint="eastAsia"/>
          <w:b/>
          <w:spacing w:val="0"/>
          <w:szCs w:val="24"/>
          <w:rtl/>
        </w:rPr>
        <w:t>ונסיבותיה</w:t>
      </w:r>
      <w:r w:rsidRPr="004E003D">
        <w:rPr>
          <w:rFonts w:ascii="Century" w:hAnsi="Century" w:cs="Miriam"/>
          <w:b/>
          <w:spacing w:val="0"/>
          <w:szCs w:val="24"/>
          <w:rtl/>
        </w:rPr>
        <w:t xml:space="preserve"> </w:t>
      </w:r>
      <w:r w:rsidRPr="004E003D">
        <w:rPr>
          <w:rFonts w:ascii="Century" w:hAnsi="Century" w:cs="Miriam" w:hint="eastAsia"/>
          <w:b/>
          <w:spacing w:val="0"/>
          <w:szCs w:val="24"/>
          <w:rtl/>
        </w:rPr>
        <w:t>חמורות</w:t>
      </w:r>
      <w:r w:rsidRPr="004E003D">
        <w:rPr>
          <w:rFonts w:ascii="Century" w:hAnsi="Century" w:cs="Miriam"/>
          <w:b/>
          <w:spacing w:val="0"/>
          <w:szCs w:val="24"/>
          <w:rtl/>
        </w:rPr>
        <w:t xml:space="preserve"> </w:t>
      </w:r>
      <w:r w:rsidRPr="004E003D">
        <w:rPr>
          <w:rFonts w:ascii="Century" w:hAnsi="Century" w:cs="Miriam" w:hint="eastAsia"/>
          <w:b/>
          <w:spacing w:val="0"/>
          <w:szCs w:val="24"/>
          <w:rtl/>
        </w:rPr>
        <w:t>יותר</w:t>
      </w:r>
      <w:r w:rsidRPr="004E003D">
        <w:rPr>
          <w:rFonts w:ascii="Century" w:hAnsi="Century" w:cs="Miriam"/>
          <w:b/>
          <w:spacing w:val="0"/>
          <w:szCs w:val="24"/>
          <w:rtl/>
        </w:rPr>
        <w:t xml:space="preserve"> – </w:t>
      </w:r>
      <w:r w:rsidRPr="004E003D">
        <w:rPr>
          <w:rFonts w:ascii="Century" w:hAnsi="Century" w:cs="Miriam" w:hint="eastAsia"/>
          <w:b/>
          <w:spacing w:val="0"/>
          <w:szCs w:val="24"/>
          <w:rtl/>
        </w:rPr>
        <w:t>גובר</w:t>
      </w:r>
      <w:r w:rsidRPr="004E003D">
        <w:rPr>
          <w:rFonts w:ascii="Century" w:hAnsi="Century" w:cs="Miriam"/>
          <w:b/>
          <w:spacing w:val="0"/>
          <w:szCs w:val="24"/>
          <w:rtl/>
        </w:rPr>
        <w:t xml:space="preserve"> </w:t>
      </w:r>
      <w:r w:rsidRPr="004E003D">
        <w:rPr>
          <w:rFonts w:ascii="Century" w:hAnsi="Century" w:cs="Miriam" w:hint="eastAsia"/>
          <w:b/>
          <w:spacing w:val="0"/>
          <w:szCs w:val="24"/>
          <w:rtl/>
        </w:rPr>
        <w:t>הנטל</w:t>
      </w:r>
      <w:r w:rsidRPr="004E003D">
        <w:rPr>
          <w:rFonts w:ascii="Century" w:hAnsi="Century" w:cs="Miriam"/>
          <w:b/>
          <w:spacing w:val="0"/>
          <w:szCs w:val="24"/>
          <w:rtl/>
        </w:rPr>
        <w:t xml:space="preserve"> </w:t>
      </w:r>
      <w:r w:rsidRPr="004E003D">
        <w:rPr>
          <w:rFonts w:ascii="Century" w:hAnsi="Century" w:cs="Miriam" w:hint="eastAsia"/>
          <w:b/>
          <w:spacing w:val="0"/>
          <w:szCs w:val="24"/>
          <w:rtl/>
        </w:rPr>
        <w:t>על</w:t>
      </w:r>
      <w:r w:rsidRPr="004E003D">
        <w:rPr>
          <w:rFonts w:ascii="Century" w:hAnsi="Century" w:cs="Miriam"/>
          <w:b/>
          <w:spacing w:val="0"/>
          <w:szCs w:val="24"/>
          <w:rtl/>
        </w:rPr>
        <w:t xml:space="preserve"> </w:t>
      </w:r>
      <w:r w:rsidRPr="004E003D">
        <w:rPr>
          <w:rFonts w:ascii="Century" w:hAnsi="Century" w:cs="Miriam" w:hint="eastAsia"/>
          <w:b/>
          <w:spacing w:val="0"/>
          <w:szCs w:val="24"/>
          <w:rtl/>
        </w:rPr>
        <w:t>הטוען</w:t>
      </w:r>
      <w:r w:rsidRPr="004E003D">
        <w:rPr>
          <w:rFonts w:ascii="Century" w:hAnsi="Century" w:cs="Miriam"/>
          <w:b/>
          <w:spacing w:val="0"/>
          <w:szCs w:val="24"/>
          <w:rtl/>
        </w:rPr>
        <w:t xml:space="preserve"> </w:t>
      </w:r>
      <w:r w:rsidRPr="004E003D">
        <w:rPr>
          <w:rFonts w:ascii="Century" w:hAnsi="Century" w:cs="Miriam" w:hint="eastAsia"/>
          <w:b/>
          <w:spacing w:val="0"/>
          <w:szCs w:val="24"/>
          <w:rtl/>
        </w:rPr>
        <w:t>להקלה</w:t>
      </w:r>
      <w:r w:rsidRPr="004E003D">
        <w:rPr>
          <w:rFonts w:ascii="Century" w:hAnsi="Century" w:cs="Miriam"/>
          <w:b/>
          <w:spacing w:val="0"/>
          <w:szCs w:val="24"/>
          <w:rtl/>
        </w:rPr>
        <w:t xml:space="preserve"> </w:t>
      </w:r>
      <w:r w:rsidRPr="004E003D">
        <w:rPr>
          <w:rFonts w:ascii="Century" w:hAnsi="Century" w:cs="Miriam" w:hint="eastAsia"/>
          <w:b/>
          <w:spacing w:val="0"/>
          <w:szCs w:val="24"/>
          <w:rtl/>
        </w:rPr>
        <w:t>בשל</w:t>
      </w:r>
      <w:r w:rsidRPr="004E003D">
        <w:rPr>
          <w:rFonts w:ascii="Century" w:hAnsi="Century" w:cs="Miriam"/>
          <w:b/>
          <w:spacing w:val="0"/>
          <w:szCs w:val="24"/>
          <w:rtl/>
        </w:rPr>
        <w:t xml:space="preserve"> </w:t>
      </w:r>
      <w:r w:rsidRPr="004E003D">
        <w:rPr>
          <w:rFonts w:ascii="Century" w:hAnsi="Century" w:cs="Miriam" w:hint="eastAsia"/>
          <w:b/>
          <w:spacing w:val="0"/>
          <w:szCs w:val="24"/>
          <w:rtl/>
        </w:rPr>
        <w:t>שיקולי</w:t>
      </w:r>
      <w:r w:rsidRPr="004E003D">
        <w:rPr>
          <w:rFonts w:ascii="Century" w:hAnsi="Century" w:cs="Miriam"/>
          <w:b/>
          <w:spacing w:val="0"/>
          <w:szCs w:val="24"/>
          <w:rtl/>
        </w:rPr>
        <w:t xml:space="preserve"> </w:t>
      </w:r>
      <w:r w:rsidRPr="004E003D">
        <w:rPr>
          <w:rFonts w:ascii="Century" w:hAnsi="Century" w:cs="Miriam" w:hint="eastAsia"/>
          <w:b/>
          <w:spacing w:val="0"/>
          <w:szCs w:val="24"/>
          <w:rtl/>
        </w:rPr>
        <w:t>שיקום</w:t>
      </w:r>
      <w:r>
        <w:rPr>
          <w:rFonts w:hint="cs"/>
          <w:rtl/>
        </w:rPr>
        <w:t>" (</w:t>
      </w:r>
      <w:r w:rsidRPr="004E003D">
        <w:rPr>
          <w:rFonts w:hint="eastAsia"/>
          <w:rtl/>
        </w:rPr>
        <w:t>ע</w:t>
      </w:r>
      <w:r w:rsidRPr="004E003D">
        <w:rPr>
          <w:rtl/>
        </w:rPr>
        <w:t>"</w:t>
      </w:r>
      <w:r w:rsidRPr="004E003D">
        <w:rPr>
          <w:rFonts w:hint="eastAsia"/>
          <w:rtl/>
        </w:rPr>
        <w:t>פ</w:t>
      </w:r>
      <w:r w:rsidRPr="004E003D">
        <w:rPr>
          <w:rtl/>
        </w:rPr>
        <w:t xml:space="preserve"> 5936/13 </w:t>
      </w:r>
      <w:r w:rsidRPr="004E003D">
        <w:rPr>
          <w:rFonts w:ascii="Century" w:hAnsi="Century" w:cs="Miriam" w:hint="eastAsia"/>
          <w:b/>
          <w:spacing w:val="0"/>
          <w:szCs w:val="24"/>
          <w:rtl/>
        </w:rPr>
        <w:t>פלוני</w:t>
      </w:r>
      <w:r w:rsidRPr="004E003D">
        <w:rPr>
          <w:rFonts w:ascii="Century" w:hAnsi="Century" w:cs="Miriam"/>
          <w:b/>
          <w:spacing w:val="0"/>
          <w:szCs w:val="24"/>
          <w:rtl/>
        </w:rPr>
        <w:t xml:space="preserve"> </w:t>
      </w:r>
      <w:r w:rsidRPr="004E003D">
        <w:rPr>
          <w:rFonts w:ascii="Century" w:hAnsi="Century" w:cs="Miriam" w:hint="eastAsia"/>
          <w:b/>
          <w:spacing w:val="0"/>
          <w:szCs w:val="24"/>
          <w:rtl/>
        </w:rPr>
        <w:t>נ</w:t>
      </w:r>
      <w:r w:rsidRPr="004E003D">
        <w:rPr>
          <w:rFonts w:ascii="Century" w:hAnsi="Century" w:cs="Miriam"/>
          <w:b/>
          <w:spacing w:val="0"/>
          <w:szCs w:val="24"/>
          <w:rtl/>
        </w:rPr>
        <w:t xml:space="preserve">' </w:t>
      </w:r>
      <w:r w:rsidRPr="004E003D">
        <w:rPr>
          <w:rFonts w:ascii="Century" w:hAnsi="Century" w:cs="Miriam" w:hint="eastAsia"/>
          <w:b/>
          <w:spacing w:val="0"/>
          <w:szCs w:val="24"/>
          <w:rtl/>
        </w:rPr>
        <w:t>מדינת</w:t>
      </w:r>
      <w:r w:rsidRPr="004E003D">
        <w:rPr>
          <w:rFonts w:ascii="Century" w:hAnsi="Century" w:cs="Miriam"/>
          <w:b/>
          <w:spacing w:val="0"/>
          <w:szCs w:val="24"/>
          <w:rtl/>
        </w:rPr>
        <w:t xml:space="preserve"> </w:t>
      </w:r>
      <w:r w:rsidRPr="004E003D">
        <w:rPr>
          <w:rFonts w:ascii="Century" w:hAnsi="Century" w:cs="Miriam" w:hint="eastAsia"/>
          <w:b/>
          <w:spacing w:val="0"/>
          <w:szCs w:val="24"/>
          <w:rtl/>
        </w:rPr>
        <w:t>ישראל</w:t>
      </w:r>
      <w:r>
        <w:rPr>
          <w:rFonts w:hint="cs"/>
          <w:rtl/>
        </w:rPr>
        <w:t xml:space="preserve">, פסקה 5 </w:t>
      </w:r>
      <w:r w:rsidRPr="004E003D">
        <w:rPr>
          <w:rtl/>
        </w:rPr>
        <w:t>(14.</w:t>
      </w:r>
      <w:r>
        <w:rPr>
          <w:rFonts w:hint="cs"/>
          <w:rtl/>
        </w:rPr>
        <w:t>1</w:t>
      </w:r>
      <w:r w:rsidRPr="004E003D">
        <w:rPr>
          <w:rtl/>
        </w:rPr>
        <w:t>.2015)</w:t>
      </w:r>
      <w:r>
        <w:rPr>
          <w:rFonts w:hint="cs"/>
          <w:rtl/>
        </w:rPr>
        <w:t>).</w:t>
      </w:r>
    </w:p>
    <w:p w:rsidR="00292D3F" w:rsidRDefault="00292D3F" w:rsidP="00292D3F">
      <w:pPr>
        <w:pStyle w:val="Ruller41"/>
        <w:rPr>
          <w:rtl/>
        </w:rPr>
      </w:pPr>
    </w:p>
    <w:p w:rsidR="00292D3F" w:rsidRDefault="00292D3F" w:rsidP="00292D3F">
      <w:pPr>
        <w:pStyle w:val="Ruller4"/>
      </w:pPr>
      <w:r>
        <w:rPr>
          <w:rFonts w:hint="cs"/>
          <w:rtl/>
        </w:rPr>
        <w:t xml:space="preserve">אם כן סעיף 40ד לחוק כפשוטו מאפשר לבית המשפט לחרוג לקולה ממתחם העונש ההולם </w:t>
      </w:r>
      <w:r w:rsidRPr="0084360E">
        <w:rPr>
          <w:rFonts w:ascii="Century" w:hAnsi="Century" w:cs="Miriam" w:hint="cs"/>
          <w:b/>
          <w:spacing w:val="0"/>
          <w:sz w:val="22"/>
          <w:szCs w:val="24"/>
          <w:rtl/>
        </w:rPr>
        <w:t>אך ורק</w:t>
      </w:r>
      <w:r w:rsidRPr="0084360E">
        <w:rPr>
          <w:rFonts w:hint="cs"/>
          <w:rtl/>
        </w:rPr>
        <w:t xml:space="preserve"> </w:t>
      </w:r>
      <w:r w:rsidRPr="00E3193E">
        <w:rPr>
          <w:rFonts w:ascii="Century" w:hAnsi="Century" w:cs="Miriam" w:hint="cs"/>
          <w:b/>
          <w:spacing w:val="0"/>
          <w:sz w:val="22"/>
          <w:szCs w:val="24"/>
          <w:rtl/>
        </w:rPr>
        <w:t>מכוח שיקולי שיקום</w:t>
      </w:r>
      <w:r>
        <w:rPr>
          <w:rFonts w:hint="cs"/>
          <w:rtl/>
        </w:rPr>
        <w:t xml:space="preserve">. אולם, בסמוך לאחר שתיקון 113 לחוק נכנס לתוקף, היו שהעירו כי צמצום טעמי החריגה לקולה מהמתחם לשיקולי שיקום בלבד </w:t>
      </w:r>
      <w:r>
        <w:rPr>
          <w:rtl/>
        </w:rPr>
        <w:t>–</w:t>
      </w:r>
      <w:r>
        <w:rPr>
          <w:rFonts w:hint="cs"/>
          <w:rtl/>
        </w:rPr>
        <w:t xml:space="preserve"> מגביל יתר על המידה את שיקול דעתו של בית המשפט (</w:t>
      </w:r>
      <w:r w:rsidRPr="001761B5">
        <w:rPr>
          <w:rFonts w:hint="eastAsia"/>
          <w:rtl/>
        </w:rPr>
        <w:t>יובל</w:t>
      </w:r>
      <w:r w:rsidRPr="001761B5">
        <w:rPr>
          <w:rtl/>
        </w:rPr>
        <w:t xml:space="preserve"> </w:t>
      </w:r>
      <w:proofErr w:type="spellStart"/>
      <w:r w:rsidRPr="001761B5">
        <w:rPr>
          <w:rFonts w:hint="eastAsia"/>
          <w:rtl/>
        </w:rPr>
        <w:t>ליבדרו</w:t>
      </w:r>
      <w:proofErr w:type="spellEnd"/>
      <w:r w:rsidRPr="001761B5">
        <w:rPr>
          <w:rtl/>
        </w:rPr>
        <w:t xml:space="preserve"> "</w:t>
      </w:r>
      <w:r w:rsidRPr="001761B5">
        <w:rPr>
          <w:rFonts w:hint="eastAsia"/>
          <w:rtl/>
        </w:rPr>
        <w:t>חריגה</w:t>
      </w:r>
      <w:r w:rsidRPr="001761B5">
        <w:rPr>
          <w:rtl/>
        </w:rPr>
        <w:t xml:space="preserve"> </w:t>
      </w:r>
      <w:r w:rsidRPr="001761B5">
        <w:rPr>
          <w:rFonts w:hint="eastAsia"/>
          <w:rtl/>
        </w:rPr>
        <w:t>ממתחם</w:t>
      </w:r>
      <w:r w:rsidRPr="001761B5">
        <w:rPr>
          <w:rtl/>
        </w:rPr>
        <w:t xml:space="preserve"> </w:t>
      </w:r>
      <w:r w:rsidRPr="001761B5">
        <w:rPr>
          <w:rFonts w:hint="eastAsia"/>
          <w:rtl/>
        </w:rPr>
        <w:t>העונש</w:t>
      </w:r>
      <w:r w:rsidRPr="001761B5">
        <w:rPr>
          <w:rtl/>
        </w:rPr>
        <w:t xml:space="preserve"> </w:t>
      </w:r>
      <w:r w:rsidRPr="001761B5">
        <w:rPr>
          <w:rFonts w:hint="eastAsia"/>
          <w:rtl/>
        </w:rPr>
        <w:t>ההולם</w:t>
      </w:r>
      <w:r w:rsidRPr="001761B5">
        <w:rPr>
          <w:rtl/>
        </w:rPr>
        <w:t xml:space="preserve"> </w:t>
      </w:r>
      <w:r w:rsidRPr="001761B5">
        <w:rPr>
          <w:rFonts w:hint="eastAsia"/>
          <w:rtl/>
        </w:rPr>
        <w:t>מטעמי</w:t>
      </w:r>
      <w:r w:rsidRPr="001761B5">
        <w:rPr>
          <w:rtl/>
        </w:rPr>
        <w:t xml:space="preserve"> </w:t>
      </w:r>
      <w:r w:rsidRPr="001761B5">
        <w:rPr>
          <w:rFonts w:hint="eastAsia"/>
          <w:rtl/>
        </w:rPr>
        <w:t>צדק</w:t>
      </w:r>
      <w:r w:rsidRPr="001761B5">
        <w:rPr>
          <w:rtl/>
        </w:rPr>
        <w:t xml:space="preserve">" </w:t>
      </w:r>
      <w:r w:rsidRPr="001761B5">
        <w:rPr>
          <w:rFonts w:ascii="Century" w:hAnsi="Century" w:cs="Miriam" w:hint="eastAsia"/>
          <w:b/>
          <w:spacing w:val="0"/>
          <w:sz w:val="22"/>
          <w:szCs w:val="24"/>
          <w:rtl/>
        </w:rPr>
        <w:t>הסניגור</w:t>
      </w:r>
      <w:r w:rsidRPr="001761B5">
        <w:rPr>
          <w:rtl/>
        </w:rPr>
        <w:t xml:space="preserve"> 197, </w:t>
      </w:r>
      <w:r>
        <w:rPr>
          <w:rFonts w:hint="cs"/>
          <w:rtl/>
        </w:rPr>
        <w:t xml:space="preserve">5 </w:t>
      </w:r>
      <w:r w:rsidRPr="001761B5">
        <w:rPr>
          <w:rtl/>
        </w:rPr>
        <w:t>(2013)</w:t>
      </w:r>
      <w:r>
        <w:rPr>
          <w:rFonts w:hint="cs"/>
          <w:rtl/>
        </w:rPr>
        <w:t xml:space="preserve">; </w:t>
      </w:r>
      <w:r w:rsidRPr="00682B38">
        <w:rPr>
          <w:rFonts w:ascii="Century" w:hAnsi="Century" w:cs="Miriam" w:hint="cs"/>
          <w:b/>
          <w:spacing w:val="0"/>
          <w:sz w:val="22"/>
          <w:szCs w:val="24"/>
          <w:rtl/>
        </w:rPr>
        <w:t>גזל אייל</w:t>
      </w:r>
      <w:r>
        <w:rPr>
          <w:rFonts w:hint="cs"/>
          <w:rtl/>
        </w:rPr>
        <w:t>, בעמ' 563).</w:t>
      </w:r>
    </w:p>
    <w:p w:rsidR="00292D3F" w:rsidRDefault="00292D3F" w:rsidP="00292D3F">
      <w:pPr>
        <w:pStyle w:val="Ruller4"/>
        <w:numPr>
          <w:ilvl w:val="0"/>
          <w:numId w:val="0"/>
        </w:numPr>
        <w:rPr>
          <w:rtl/>
        </w:rPr>
      </w:pPr>
    </w:p>
    <w:p w:rsidR="00292D3F" w:rsidRDefault="00292D3F" w:rsidP="00FD4679">
      <w:pPr>
        <w:pStyle w:val="Ruller4"/>
        <w:numPr>
          <w:ilvl w:val="0"/>
          <w:numId w:val="0"/>
        </w:numPr>
        <w:rPr>
          <w:rtl/>
        </w:rPr>
      </w:pPr>
      <w:r>
        <w:rPr>
          <w:rtl/>
        </w:rPr>
        <w:tab/>
      </w:r>
      <w:r>
        <w:rPr>
          <w:rFonts w:hint="cs"/>
          <w:rtl/>
        </w:rPr>
        <w:t xml:space="preserve">קושי זה, הוביל את בתי המשפט לפתח בחיי המעשה מספר פתרונות מגוונים (לסקירה, ראו אצל </w:t>
      </w:r>
      <w:proofErr w:type="spellStart"/>
      <w:r w:rsidRPr="007E3A6C">
        <w:rPr>
          <w:rFonts w:ascii="Century" w:hAnsi="Century" w:cs="Miriam" w:hint="cs"/>
          <w:b/>
          <w:spacing w:val="0"/>
          <w:sz w:val="22"/>
          <w:szCs w:val="24"/>
          <w:rtl/>
        </w:rPr>
        <w:t>ליבדרו</w:t>
      </w:r>
      <w:proofErr w:type="spellEnd"/>
      <w:r>
        <w:rPr>
          <w:rFonts w:hint="cs"/>
          <w:rtl/>
        </w:rPr>
        <w:t xml:space="preserve">, בעמ' 8-5; וכן, </w:t>
      </w:r>
      <w:r w:rsidRPr="00861221">
        <w:rPr>
          <w:rFonts w:hint="eastAsia"/>
          <w:rtl/>
        </w:rPr>
        <w:t>רות</w:t>
      </w:r>
      <w:r w:rsidRPr="00861221">
        <w:rPr>
          <w:rtl/>
        </w:rPr>
        <w:t xml:space="preserve"> </w:t>
      </w:r>
      <w:r w:rsidRPr="00861221">
        <w:rPr>
          <w:rFonts w:hint="eastAsia"/>
          <w:rtl/>
        </w:rPr>
        <w:t>קנאי</w:t>
      </w:r>
      <w:r w:rsidRPr="00861221">
        <w:rPr>
          <w:rtl/>
        </w:rPr>
        <w:t xml:space="preserve"> "</w:t>
      </w:r>
      <w:r w:rsidRPr="00861221">
        <w:rPr>
          <w:rFonts w:hint="eastAsia"/>
          <w:rtl/>
        </w:rPr>
        <w:t>לקראת</w:t>
      </w:r>
      <w:r w:rsidRPr="00861221">
        <w:rPr>
          <w:rtl/>
        </w:rPr>
        <w:t xml:space="preserve"> </w:t>
      </w:r>
      <w:r w:rsidRPr="00861221">
        <w:rPr>
          <w:rFonts w:hint="eastAsia"/>
          <w:rtl/>
        </w:rPr>
        <w:t>יישום</w:t>
      </w:r>
      <w:r w:rsidRPr="00861221">
        <w:rPr>
          <w:rtl/>
        </w:rPr>
        <w:t xml:space="preserve"> </w:t>
      </w:r>
      <w:r w:rsidRPr="00861221">
        <w:rPr>
          <w:rFonts w:hint="eastAsia"/>
          <w:rtl/>
        </w:rPr>
        <w:t>ראוי</w:t>
      </w:r>
      <w:r w:rsidRPr="00861221">
        <w:rPr>
          <w:rtl/>
        </w:rPr>
        <w:t xml:space="preserve"> </w:t>
      </w:r>
      <w:r w:rsidRPr="00861221">
        <w:rPr>
          <w:rFonts w:hint="eastAsia"/>
          <w:rtl/>
        </w:rPr>
        <w:t>של</w:t>
      </w:r>
      <w:r w:rsidRPr="00861221">
        <w:rPr>
          <w:rtl/>
        </w:rPr>
        <w:t xml:space="preserve"> </w:t>
      </w:r>
      <w:r w:rsidRPr="00861221">
        <w:rPr>
          <w:rFonts w:hint="eastAsia"/>
          <w:rtl/>
        </w:rPr>
        <w:t>תיקון</w:t>
      </w:r>
      <w:r w:rsidRPr="00861221">
        <w:rPr>
          <w:rtl/>
        </w:rPr>
        <w:t xml:space="preserve"> – 113 </w:t>
      </w:r>
      <w:r w:rsidRPr="00861221">
        <w:rPr>
          <w:rFonts w:hint="eastAsia"/>
          <w:rtl/>
        </w:rPr>
        <w:t>הערות</w:t>
      </w:r>
      <w:r w:rsidRPr="00861221">
        <w:rPr>
          <w:rtl/>
        </w:rPr>
        <w:t xml:space="preserve"> </w:t>
      </w:r>
      <w:r w:rsidRPr="00861221">
        <w:rPr>
          <w:rFonts w:hint="eastAsia"/>
          <w:rtl/>
        </w:rPr>
        <w:t>ראשוניות</w:t>
      </w:r>
      <w:r w:rsidRPr="00861221">
        <w:rPr>
          <w:rtl/>
        </w:rPr>
        <w:t xml:space="preserve">" </w:t>
      </w:r>
      <w:r w:rsidRPr="006D7DB6">
        <w:rPr>
          <w:rFonts w:ascii="Century" w:hAnsi="Century" w:cs="Miriam" w:hint="eastAsia"/>
          <w:b/>
          <w:spacing w:val="0"/>
          <w:sz w:val="22"/>
          <w:szCs w:val="24"/>
          <w:rtl/>
        </w:rPr>
        <w:t>הסניגור</w:t>
      </w:r>
      <w:r w:rsidRPr="006D7DB6">
        <w:rPr>
          <w:rFonts w:hint="cs"/>
          <w:rtl/>
        </w:rPr>
        <w:t xml:space="preserve"> </w:t>
      </w:r>
      <w:r>
        <w:rPr>
          <w:rFonts w:hint="cs"/>
          <w:rtl/>
        </w:rPr>
        <w:t xml:space="preserve">196 4, 9 (2013)). בחלוף שנים אחדות, אימץ בית משפט זה גישה שלפיה השיקולים שקבע המחוקק לצורך חריגה מהמתחם אינם בגדר "רשימה סגורה" ויש מקום להכיר בחריג נוסף </w:t>
      </w:r>
      <w:r w:rsidRPr="005135E2">
        <w:rPr>
          <w:rFonts w:ascii="Century" w:hAnsi="Century" w:cs="Miriam" w:hint="cs"/>
          <w:b/>
          <w:spacing w:val="0"/>
          <w:sz w:val="22"/>
          <w:szCs w:val="24"/>
          <w:rtl/>
        </w:rPr>
        <w:t>וצר</w:t>
      </w:r>
      <w:r w:rsidRPr="005135E2">
        <w:rPr>
          <w:rFonts w:hint="cs"/>
          <w:rtl/>
        </w:rPr>
        <w:t xml:space="preserve"> </w:t>
      </w:r>
      <w:r>
        <w:rPr>
          <w:rFonts w:hint="cs"/>
          <w:rtl/>
        </w:rPr>
        <w:t xml:space="preserve">בשל </w:t>
      </w:r>
      <w:r w:rsidRPr="00A24F41">
        <w:rPr>
          <w:rFonts w:ascii="Century" w:hAnsi="Century" w:cs="Miriam" w:hint="cs"/>
          <w:b/>
          <w:spacing w:val="0"/>
          <w:sz w:val="22"/>
          <w:szCs w:val="24"/>
          <w:rtl/>
        </w:rPr>
        <w:t>שיקולי צדק</w:t>
      </w:r>
      <w:r>
        <w:rPr>
          <w:rFonts w:hint="cs"/>
          <w:rtl/>
        </w:rPr>
        <w:t xml:space="preserve"> (</w:t>
      </w:r>
      <w:r w:rsidRPr="003718C6">
        <w:rPr>
          <w:rFonts w:hint="eastAsia"/>
          <w:rtl/>
        </w:rPr>
        <w:t>ע</w:t>
      </w:r>
      <w:r w:rsidRPr="003718C6">
        <w:rPr>
          <w:rtl/>
        </w:rPr>
        <w:t>"</w:t>
      </w:r>
      <w:r w:rsidRPr="003718C6">
        <w:rPr>
          <w:rFonts w:hint="eastAsia"/>
          <w:rtl/>
        </w:rPr>
        <w:t>פ</w:t>
      </w:r>
      <w:r w:rsidRPr="003718C6">
        <w:rPr>
          <w:rtl/>
        </w:rPr>
        <w:t xml:space="preserve"> 4456/14 </w:t>
      </w:r>
      <w:proofErr w:type="spellStart"/>
      <w:r w:rsidRPr="003718C6">
        <w:rPr>
          <w:rFonts w:ascii="Century" w:hAnsi="Century" w:cs="Miriam" w:hint="eastAsia"/>
          <w:b/>
          <w:spacing w:val="0"/>
          <w:sz w:val="22"/>
          <w:szCs w:val="24"/>
          <w:rtl/>
        </w:rPr>
        <w:t>קלנר</w:t>
      </w:r>
      <w:proofErr w:type="spellEnd"/>
      <w:r w:rsidRPr="003718C6">
        <w:rPr>
          <w:rFonts w:ascii="Century" w:hAnsi="Century" w:cs="Miriam"/>
          <w:b/>
          <w:spacing w:val="0"/>
          <w:sz w:val="22"/>
          <w:szCs w:val="24"/>
          <w:rtl/>
        </w:rPr>
        <w:t xml:space="preserve"> </w:t>
      </w:r>
      <w:r w:rsidRPr="003718C6">
        <w:rPr>
          <w:rFonts w:ascii="Century" w:hAnsi="Century" w:cs="Miriam" w:hint="eastAsia"/>
          <w:b/>
          <w:spacing w:val="0"/>
          <w:sz w:val="22"/>
          <w:szCs w:val="24"/>
          <w:rtl/>
        </w:rPr>
        <w:t>נ</w:t>
      </w:r>
      <w:r w:rsidRPr="003718C6">
        <w:rPr>
          <w:rFonts w:ascii="Century" w:hAnsi="Century" w:cs="Miriam"/>
          <w:b/>
          <w:spacing w:val="0"/>
          <w:sz w:val="22"/>
          <w:szCs w:val="24"/>
          <w:rtl/>
        </w:rPr>
        <w:t xml:space="preserve">' </w:t>
      </w:r>
      <w:r w:rsidRPr="003718C6">
        <w:rPr>
          <w:rFonts w:ascii="Century" w:hAnsi="Century" w:cs="Miriam" w:hint="eastAsia"/>
          <w:b/>
          <w:spacing w:val="0"/>
          <w:sz w:val="22"/>
          <w:szCs w:val="24"/>
          <w:rtl/>
        </w:rPr>
        <w:t>מדינת</w:t>
      </w:r>
      <w:r w:rsidRPr="003718C6">
        <w:rPr>
          <w:rFonts w:ascii="Century" w:hAnsi="Century" w:cs="Miriam"/>
          <w:b/>
          <w:spacing w:val="0"/>
          <w:sz w:val="22"/>
          <w:szCs w:val="24"/>
          <w:rtl/>
        </w:rPr>
        <w:t xml:space="preserve"> </w:t>
      </w:r>
      <w:r w:rsidRPr="003718C6">
        <w:rPr>
          <w:rFonts w:ascii="Century" w:hAnsi="Century" w:cs="Miriam" w:hint="eastAsia"/>
          <w:b/>
          <w:spacing w:val="0"/>
          <w:sz w:val="22"/>
          <w:szCs w:val="24"/>
          <w:rtl/>
        </w:rPr>
        <w:t>ישראל</w:t>
      </w:r>
      <w:r w:rsidRPr="003718C6">
        <w:rPr>
          <w:rtl/>
        </w:rPr>
        <w:t xml:space="preserve"> (29.12.2015)</w:t>
      </w:r>
      <w:r>
        <w:rPr>
          <w:rFonts w:hint="cs"/>
          <w:rtl/>
        </w:rPr>
        <w:t xml:space="preserve"> (להלן: עניין </w:t>
      </w:r>
      <w:proofErr w:type="spellStart"/>
      <w:r w:rsidRPr="00700374">
        <w:rPr>
          <w:rFonts w:ascii="Century" w:hAnsi="Century" w:cs="Miriam" w:hint="cs"/>
          <w:b/>
          <w:spacing w:val="0"/>
          <w:sz w:val="22"/>
          <w:szCs w:val="24"/>
          <w:rtl/>
        </w:rPr>
        <w:t>קלנר</w:t>
      </w:r>
      <w:proofErr w:type="spellEnd"/>
      <w:r>
        <w:rPr>
          <w:rFonts w:hint="cs"/>
          <w:rtl/>
        </w:rPr>
        <w:t>)). זאת, כנגזרת של חובתו של בית המשפט לשמור על מידתיות בענישה בהשפעת חוק יסוד: כבוד האדם וחירותו על הוראות דיני העונשין (</w:t>
      </w:r>
      <w:r>
        <w:rPr>
          <w:rFonts w:ascii="Century" w:hAnsi="Century" w:hint="cs"/>
          <w:sz w:val="22"/>
          <w:rtl/>
        </w:rPr>
        <w:t>שם</w:t>
      </w:r>
      <w:r>
        <w:rPr>
          <w:rFonts w:hint="cs"/>
          <w:rtl/>
        </w:rPr>
        <w:t xml:space="preserve">, בפסקה 215 לפסק דינו של השופט </w:t>
      </w:r>
      <w:r w:rsidRPr="0025269B">
        <w:rPr>
          <w:rFonts w:ascii="Century" w:hAnsi="Century" w:cs="Miriam" w:hint="cs"/>
          <w:b/>
          <w:spacing w:val="0"/>
          <w:sz w:val="22"/>
          <w:szCs w:val="24"/>
          <w:rtl/>
        </w:rPr>
        <w:t>ע'</w:t>
      </w:r>
      <w:r>
        <w:rPr>
          <w:rFonts w:hint="cs"/>
          <w:rtl/>
        </w:rPr>
        <w:t xml:space="preserve"> </w:t>
      </w:r>
      <w:proofErr w:type="spellStart"/>
      <w:r w:rsidRPr="003718C6">
        <w:rPr>
          <w:rFonts w:ascii="Century" w:hAnsi="Century" w:cs="Miriam" w:hint="cs"/>
          <w:b/>
          <w:spacing w:val="0"/>
          <w:sz w:val="22"/>
          <w:szCs w:val="24"/>
          <w:rtl/>
        </w:rPr>
        <w:t>פוגלמן</w:t>
      </w:r>
      <w:proofErr w:type="spellEnd"/>
      <w:r>
        <w:rPr>
          <w:rFonts w:hint="cs"/>
          <w:rtl/>
        </w:rPr>
        <w:t xml:space="preserve">). בהתאם, בעניין </w:t>
      </w:r>
      <w:proofErr w:type="spellStart"/>
      <w:r w:rsidRPr="00E230AE">
        <w:rPr>
          <w:rFonts w:ascii="Century" w:hAnsi="Century" w:cs="Miriam" w:hint="cs"/>
          <w:b/>
          <w:spacing w:val="0"/>
          <w:sz w:val="22"/>
          <w:szCs w:val="24"/>
          <w:rtl/>
        </w:rPr>
        <w:t>קלנר</w:t>
      </w:r>
      <w:proofErr w:type="spellEnd"/>
      <w:r w:rsidRPr="00E230AE">
        <w:rPr>
          <w:rFonts w:hint="cs"/>
          <w:rtl/>
        </w:rPr>
        <w:t xml:space="preserve"> </w:t>
      </w:r>
      <w:r>
        <w:rPr>
          <w:rFonts w:hint="cs"/>
          <w:rtl/>
        </w:rPr>
        <w:t xml:space="preserve">נקבע כי </w:t>
      </w:r>
      <w:r>
        <w:rPr>
          <w:rFonts w:hint="eastAsia"/>
          <w:rtl/>
        </w:rPr>
        <w:t>בית</w:t>
      </w:r>
      <w:r>
        <w:rPr>
          <w:rtl/>
        </w:rPr>
        <w:t xml:space="preserve"> </w:t>
      </w:r>
      <w:r>
        <w:rPr>
          <w:rFonts w:hint="eastAsia"/>
          <w:rtl/>
        </w:rPr>
        <w:t>המשפט</w:t>
      </w:r>
      <w:r>
        <w:rPr>
          <w:rtl/>
        </w:rPr>
        <w:t xml:space="preserve"> </w:t>
      </w:r>
      <w:r>
        <w:rPr>
          <w:rFonts w:hint="eastAsia"/>
          <w:rtl/>
        </w:rPr>
        <w:t>רשאי</w:t>
      </w:r>
      <w:r>
        <w:rPr>
          <w:rtl/>
        </w:rPr>
        <w:t xml:space="preserve"> </w:t>
      </w:r>
      <w:r>
        <w:rPr>
          <w:rFonts w:hint="cs"/>
          <w:rtl/>
        </w:rPr>
        <w:t xml:space="preserve">לחרוג לקולה ממתחם העונש ההולם בשל </w:t>
      </w:r>
      <w:r w:rsidRPr="005E718D">
        <w:rPr>
          <w:rFonts w:ascii="Century" w:hAnsi="Century" w:cs="Miriam" w:hint="cs"/>
          <w:b/>
          <w:spacing w:val="0"/>
          <w:sz w:val="22"/>
          <w:szCs w:val="24"/>
          <w:rtl/>
        </w:rPr>
        <w:t xml:space="preserve">שיקולי </w:t>
      </w:r>
      <w:r w:rsidRPr="005E718D">
        <w:rPr>
          <w:rFonts w:ascii="Century" w:hAnsi="Century" w:cs="Miriam" w:hint="eastAsia"/>
          <w:b/>
          <w:spacing w:val="0"/>
          <w:sz w:val="22"/>
          <w:szCs w:val="24"/>
          <w:rtl/>
        </w:rPr>
        <w:t>צדק</w:t>
      </w:r>
      <w:r>
        <w:rPr>
          <w:rtl/>
        </w:rPr>
        <w:t xml:space="preserve">, </w:t>
      </w:r>
      <w:r>
        <w:rPr>
          <w:rFonts w:hint="cs"/>
          <w:rtl/>
        </w:rPr>
        <w:t>כאשר ניכר ש</w:t>
      </w:r>
      <w:r>
        <w:rPr>
          <w:rFonts w:hint="eastAsia"/>
          <w:rtl/>
        </w:rPr>
        <w:t>כניסתו</w:t>
      </w:r>
      <w:r>
        <w:rPr>
          <w:rtl/>
        </w:rPr>
        <w:t xml:space="preserve"> </w:t>
      </w:r>
      <w:r>
        <w:rPr>
          <w:rFonts w:hint="cs"/>
          <w:rtl/>
        </w:rPr>
        <w:t xml:space="preserve">של הנאשם </w:t>
      </w:r>
      <w:r>
        <w:rPr>
          <w:rFonts w:hint="eastAsia"/>
          <w:rtl/>
        </w:rPr>
        <w:t>למאסר</w:t>
      </w:r>
      <w:r>
        <w:rPr>
          <w:rtl/>
        </w:rPr>
        <w:t xml:space="preserve"> </w:t>
      </w:r>
      <w:r>
        <w:rPr>
          <w:rFonts w:hint="eastAsia"/>
          <w:rtl/>
        </w:rPr>
        <w:t>עלולה</w:t>
      </w:r>
      <w:r>
        <w:rPr>
          <w:rtl/>
        </w:rPr>
        <w:t xml:space="preserve"> </w:t>
      </w:r>
      <w:r>
        <w:rPr>
          <w:rFonts w:hint="eastAsia"/>
          <w:rtl/>
        </w:rPr>
        <w:t>לסכן</w:t>
      </w:r>
      <w:r>
        <w:rPr>
          <w:rtl/>
        </w:rPr>
        <w:t xml:space="preserve"> </w:t>
      </w:r>
      <w:r>
        <w:rPr>
          <w:rFonts w:hint="eastAsia"/>
          <w:rtl/>
        </w:rPr>
        <w:t>את</w:t>
      </w:r>
      <w:r>
        <w:rPr>
          <w:rtl/>
        </w:rPr>
        <w:t xml:space="preserve"> </w:t>
      </w:r>
      <w:r>
        <w:rPr>
          <w:rFonts w:hint="eastAsia"/>
          <w:rtl/>
        </w:rPr>
        <w:t>חייו</w:t>
      </w:r>
      <w:r>
        <w:rPr>
          <w:rtl/>
        </w:rPr>
        <w:t xml:space="preserve"> </w:t>
      </w:r>
      <w:r>
        <w:rPr>
          <w:rFonts w:hint="eastAsia"/>
          <w:rtl/>
        </w:rPr>
        <w:t>או</w:t>
      </w:r>
      <w:r>
        <w:rPr>
          <w:rtl/>
        </w:rPr>
        <w:t xml:space="preserve"> </w:t>
      </w:r>
      <w:r>
        <w:rPr>
          <w:rFonts w:hint="eastAsia"/>
          <w:rtl/>
        </w:rPr>
        <w:t>לקצר</w:t>
      </w:r>
      <w:r>
        <w:rPr>
          <w:rtl/>
        </w:rPr>
        <w:t xml:space="preserve"> </w:t>
      </w:r>
      <w:r>
        <w:rPr>
          <w:rFonts w:hint="eastAsia"/>
          <w:rtl/>
        </w:rPr>
        <w:t>בצורה</w:t>
      </w:r>
      <w:r>
        <w:rPr>
          <w:rtl/>
        </w:rPr>
        <w:t xml:space="preserve"> </w:t>
      </w:r>
      <w:r>
        <w:rPr>
          <w:rFonts w:hint="eastAsia"/>
          <w:rtl/>
        </w:rPr>
        <w:t>ניכרת</w:t>
      </w:r>
      <w:r>
        <w:rPr>
          <w:rtl/>
        </w:rPr>
        <w:t xml:space="preserve"> </w:t>
      </w:r>
      <w:r>
        <w:rPr>
          <w:rFonts w:hint="eastAsia"/>
          <w:rtl/>
        </w:rPr>
        <w:t>את</w:t>
      </w:r>
      <w:r>
        <w:rPr>
          <w:rtl/>
        </w:rPr>
        <w:t xml:space="preserve"> </w:t>
      </w:r>
      <w:r>
        <w:rPr>
          <w:rFonts w:hint="eastAsia"/>
          <w:rtl/>
        </w:rPr>
        <w:t>תוחלת</w:t>
      </w:r>
      <w:r>
        <w:rPr>
          <w:rtl/>
        </w:rPr>
        <w:t xml:space="preserve"> </w:t>
      </w:r>
      <w:r>
        <w:rPr>
          <w:rFonts w:hint="eastAsia"/>
          <w:rtl/>
        </w:rPr>
        <w:lastRenderedPageBreak/>
        <w:t>חייו</w:t>
      </w:r>
      <w:r>
        <w:rPr>
          <w:rtl/>
        </w:rPr>
        <w:t>.</w:t>
      </w:r>
      <w:r>
        <w:rPr>
          <w:rFonts w:hint="cs"/>
          <w:rtl/>
        </w:rPr>
        <w:t xml:space="preserve"> בד בבד, הודגש כי בבחינת האפשרות לחריגה לקולה מהמתחם, על בית המשפט לאזן בין שיקולי הצדק לבין חומרת מעשיו של הנאשם, מידת אשמו ומידת מסוכנותו לציבור. </w:t>
      </w:r>
    </w:p>
    <w:p w:rsidR="00292D3F" w:rsidRDefault="00292D3F" w:rsidP="00292D3F">
      <w:pPr>
        <w:pStyle w:val="Ruller4"/>
        <w:numPr>
          <w:ilvl w:val="0"/>
          <w:numId w:val="0"/>
        </w:numPr>
        <w:rPr>
          <w:rtl/>
        </w:rPr>
      </w:pPr>
    </w:p>
    <w:p w:rsidR="00292D3F" w:rsidRDefault="00292D3F" w:rsidP="00292D3F">
      <w:pPr>
        <w:pStyle w:val="Ruller4"/>
        <w:rPr>
          <w:rtl/>
        </w:rPr>
      </w:pPr>
      <w:r w:rsidRPr="002679BA">
        <w:rPr>
          <w:rFonts w:hint="eastAsia"/>
          <w:rtl/>
        </w:rPr>
        <w:t>מדובר</w:t>
      </w:r>
      <w:r w:rsidRPr="002679BA">
        <w:rPr>
          <w:rtl/>
        </w:rPr>
        <w:t xml:space="preserve"> </w:t>
      </w:r>
      <w:r>
        <w:rPr>
          <w:rFonts w:hint="cs"/>
          <w:rtl/>
        </w:rPr>
        <w:t xml:space="preserve">אפוא </w:t>
      </w:r>
      <w:r w:rsidRPr="002679BA">
        <w:rPr>
          <w:rFonts w:hint="eastAsia"/>
          <w:rtl/>
        </w:rPr>
        <w:t>במשוכה</w:t>
      </w:r>
      <w:r w:rsidRPr="002679BA">
        <w:rPr>
          <w:rtl/>
        </w:rPr>
        <w:t xml:space="preserve"> </w:t>
      </w:r>
      <w:r w:rsidRPr="002679BA">
        <w:rPr>
          <w:rFonts w:hint="eastAsia"/>
          <w:rtl/>
        </w:rPr>
        <w:t>גבוהה</w:t>
      </w:r>
      <w:r w:rsidRPr="002679BA">
        <w:rPr>
          <w:rtl/>
        </w:rPr>
        <w:t xml:space="preserve"> </w:t>
      </w:r>
      <w:r w:rsidRPr="002679BA">
        <w:rPr>
          <w:rFonts w:hint="eastAsia"/>
          <w:rtl/>
        </w:rPr>
        <w:t>הניצבת</w:t>
      </w:r>
      <w:r w:rsidRPr="002679BA">
        <w:rPr>
          <w:rtl/>
        </w:rPr>
        <w:t xml:space="preserve"> </w:t>
      </w:r>
      <w:r w:rsidRPr="002679BA">
        <w:rPr>
          <w:rFonts w:hint="eastAsia"/>
          <w:rtl/>
        </w:rPr>
        <w:t>לפני</w:t>
      </w:r>
      <w:r w:rsidRPr="002679BA">
        <w:rPr>
          <w:rtl/>
        </w:rPr>
        <w:t xml:space="preserve"> </w:t>
      </w:r>
      <w:r w:rsidRPr="002679BA">
        <w:rPr>
          <w:rFonts w:hint="eastAsia"/>
          <w:rtl/>
        </w:rPr>
        <w:t>הטוען</w:t>
      </w:r>
      <w:r w:rsidRPr="002679BA">
        <w:rPr>
          <w:rtl/>
        </w:rPr>
        <w:t xml:space="preserve"> </w:t>
      </w:r>
      <w:r w:rsidRPr="002679BA">
        <w:rPr>
          <w:rFonts w:hint="eastAsia"/>
          <w:rtl/>
        </w:rPr>
        <w:t>לכך</w:t>
      </w:r>
      <w:r>
        <w:rPr>
          <w:rFonts w:hint="cs"/>
          <w:rtl/>
        </w:rPr>
        <w:t>, שכן נקודת המוצא היא כי חזקה על שירות בתי הסוהר כי הוא ערוך ומוכן להעניק טיפול רפואי מיטבי לאסירים המצויים תחת פיקוחו, גם במצבים בריאותיים מורכבים. משכך, לא די בטענה כללית כי הנאשם סובל מבעיות רפואיות כאלו ואחרות אשר עלולות להקשות על תקופת מאסרו. יש להראות כי השהות במאסר תביא להרעה ממשית במצבו הרפואי או לקיצור תוחלת חייו באופן מוחשי (</w:t>
      </w:r>
      <w:r w:rsidRPr="00797C92">
        <w:rPr>
          <w:rFonts w:hint="eastAsia"/>
          <w:rtl/>
        </w:rPr>
        <w:t>ע</w:t>
      </w:r>
      <w:r w:rsidRPr="00797C92">
        <w:rPr>
          <w:rtl/>
        </w:rPr>
        <w:t>"</w:t>
      </w:r>
      <w:r w:rsidRPr="00797C92">
        <w:rPr>
          <w:rFonts w:hint="eastAsia"/>
          <w:rtl/>
        </w:rPr>
        <w:t>פ</w:t>
      </w:r>
      <w:r w:rsidRPr="00797C92">
        <w:rPr>
          <w:rtl/>
        </w:rPr>
        <w:t xml:space="preserve"> 4506/15 </w:t>
      </w:r>
      <w:r w:rsidRPr="00797C92">
        <w:rPr>
          <w:rFonts w:ascii="Century" w:hAnsi="Century" w:cs="Miriam" w:hint="eastAsia"/>
          <w:b/>
          <w:spacing w:val="0"/>
          <w:sz w:val="22"/>
          <w:szCs w:val="24"/>
          <w:rtl/>
        </w:rPr>
        <w:t>בר</w:t>
      </w:r>
      <w:r w:rsidRPr="00797C92">
        <w:rPr>
          <w:rFonts w:ascii="Century" w:hAnsi="Century" w:cs="Miriam"/>
          <w:b/>
          <w:spacing w:val="0"/>
          <w:sz w:val="22"/>
          <w:szCs w:val="24"/>
          <w:rtl/>
        </w:rPr>
        <w:t xml:space="preserve"> </w:t>
      </w:r>
      <w:r w:rsidRPr="00797C92">
        <w:rPr>
          <w:rFonts w:ascii="Century" w:hAnsi="Century" w:cs="Miriam" w:hint="eastAsia"/>
          <w:b/>
          <w:spacing w:val="0"/>
          <w:sz w:val="22"/>
          <w:szCs w:val="24"/>
          <w:rtl/>
        </w:rPr>
        <w:t>נ</w:t>
      </w:r>
      <w:r w:rsidRPr="00797C92">
        <w:rPr>
          <w:rFonts w:ascii="Century" w:hAnsi="Century" w:cs="Miriam"/>
          <w:b/>
          <w:spacing w:val="0"/>
          <w:sz w:val="22"/>
          <w:szCs w:val="24"/>
          <w:rtl/>
        </w:rPr>
        <w:t xml:space="preserve">' </w:t>
      </w:r>
      <w:r w:rsidRPr="00797C92">
        <w:rPr>
          <w:rFonts w:ascii="Century" w:hAnsi="Century" w:cs="Miriam" w:hint="eastAsia"/>
          <w:b/>
          <w:spacing w:val="0"/>
          <w:sz w:val="22"/>
          <w:szCs w:val="24"/>
          <w:rtl/>
        </w:rPr>
        <w:t>מדינת</w:t>
      </w:r>
      <w:r w:rsidRPr="00797C92">
        <w:rPr>
          <w:rFonts w:ascii="Century" w:hAnsi="Century" w:cs="Miriam"/>
          <w:b/>
          <w:spacing w:val="0"/>
          <w:sz w:val="22"/>
          <w:szCs w:val="24"/>
          <w:rtl/>
        </w:rPr>
        <w:t xml:space="preserve"> </w:t>
      </w:r>
      <w:r w:rsidRPr="00797C92">
        <w:rPr>
          <w:rFonts w:ascii="Century" w:hAnsi="Century" w:cs="Miriam" w:hint="eastAsia"/>
          <w:b/>
          <w:spacing w:val="0"/>
          <w:sz w:val="22"/>
          <w:szCs w:val="24"/>
          <w:rtl/>
        </w:rPr>
        <w:t>ישראל</w:t>
      </w:r>
      <w:r>
        <w:rPr>
          <w:rFonts w:hint="cs"/>
          <w:rtl/>
        </w:rPr>
        <w:t xml:space="preserve">, פסקה 10 </w:t>
      </w:r>
      <w:r w:rsidRPr="00797C92">
        <w:rPr>
          <w:rtl/>
        </w:rPr>
        <w:t>(11.12.2016)</w:t>
      </w:r>
      <w:r>
        <w:rPr>
          <w:rFonts w:hint="cs"/>
          <w:rtl/>
        </w:rPr>
        <w:t xml:space="preserve">; </w:t>
      </w:r>
      <w:r w:rsidRPr="007B4B61">
        <w:rPr>
          <w:rFonts w:hint="eastAsia"/>
          <w:rtl/>
        </w:rPr>
        <w:t>ע</w:t>
      </w:r>
      <w:r w:rsidRPr="007B4B61">
        <w:rPr>
          <w:rtl/>
        </w:rPr>
        <w:t>"</w:t>
      </w:r>
      <w:r w:rsidRPr="007B4B61">
        <w:rPr>
          <w:rFonts w:hint="eastAsia"/>
          <w:rtl/>
        </w:rPr>
        <w:t>פ</w:t>
      </w:r>
      <w:r w:rsidRPr="007B4B61">
        <w:rPr>
          <w:rtl/>
        </w:rPr>
        <w:t xml:space="preserve"> 5703/22 </w:t>
      </w:r>
      <w:r w:rsidRPr="007B4B61">
        <w:rPr>
          <w:rFonts w:ascii="Century" w:hAnsi="Century" w:cs="Miriam" w:hint="eastAsia"/>
          <w:b/>
          <w:spacing w:val="0"/>
          <w:sz w:val="22"/>
          <w:szCs w:val="24"/>
          <w:rtl/>
        </w:rPr>
        <w:t>בן</w:t>
      </w:r>
      <w:r w:rsidRPr="007B4B61">
        <w:rPr>
          <w:rFonts w:ascii="Century" w:hAnsi="Century" w:cs="Miriam"/>
          <w:b/>
          <w:spacing w:val="0"/>
          <w:sz w:val="22"/>
          <w:szCs w:val="24"/>
          <w:rtl/>
        </w:rPr>
        <w:t xml:space="preserve"> </w:t>
      </w:r>
      <w:r w:rsidRPr="007B4B61">
        <w:rPr>
          <w:rFonts w:ascii="Century" w:hAnsi="Century" w:cs="Miriam" w:hint="eastAsia"/>
          <w:b/>
          <w:spacing w:val="0"/>
          <w:sz w:val="22"/>
          <w:szCs w:val="24"/>
          <w:rtl/>
        </w:rPr>
        <w:t>ציון</w:t>
      </w:r>
      <w:r w:rsidRPr="007B4B61">
        <w:rPr>
          <w:rFonts w:ascii="Century" w:hAnsi="Century" w:cs="Miriam"/>
          <w:b/>
          <w:spacing w:val="0"/>
          <w:sz w:val="22"/>
          <w:szCs w:val="24"/>
          <w:rtl/>
        </w:rPr>
        <w:t xml:space="preserve"> </w:t>
      </w:r>
      <w:r w:rsidRPr="007B4B61">
        <w:rPr>
          <w:rFonts w:ascii="Century" w:hAnsi="Century" w:cs="Miriam" w:hint="eastAsia"/>
          <w:b/>
          <w:spacing w:val="0"/>
          <w:sz w:val="22"/>
          <w:szCs w:val="24"/>
          <w:rtl/>
        </w:rPr>
        <w:t>נ</w:t>
      </w:r>
      <w:r w:rsidRPr="007B4B61">
        <w:rPr>
          <w:rFonts w:ascii="Century" w:hAnsi="Century" w:cs="Miriam"/>
          <w:b/>
          <w:spacing w:val="0"/>
          <w:sz w:val="22"/>
          <w:szCs w:val="24"/>
          <w:rtl/>
        </w:rPr>
        <w:t xml:space="preserve">' </w:t>
      </w:r>
      <w:r w:rsidRPr="007B4B61">
        <w:rPr>
          <w:rFonts w:ascii="Century" w:hAnsi="Century" w:cs="Miriam" w:hint="eastAsia"/>
          <w:b/>
          <w:spacing w:val="0"/>
          <w:sz w:val="22"/>
          <w:szCs w:val="24"/>
          <w:rtl/>
        </w:rPr>
        <w:t>מדינת</w:t>
      </w:r>
      <w:r w:rsidRPr="007B4B61">
        <w:rPr>
          <w:rFonts w:ascii="Century" w:hAnsi="Century" w:cs="Miriam"/>
          <w:b/>
          <w:spacing w:val="0"/>
          <w:sz w:val="22"/>
          <w:szCs w:val="24"/>
          <w:rtl/>
        </w:rPr>
        <w:t xml:space="preserve"> </w:t>
      </w:r>
      <w:r w:rsidRPr="007B4B61">
        <w:rPr>
          <w:rFonts w:ascii="Century" w:hAnsi="Century" w:cs="Miriam" w:hint="eastAsia"/>
          <w:b/>
          <w:spacing w:val="0"/>
          <w:sz w:val="22"/>
          <w:szCs w:val="24"/>
          <w:rtl/>
        </w:rPr>
        <w:t>ישראל</w:t>
      </w:r>
      <w:r>
        <w:rPr>
          <w:rFonts w:hint="cs"/>
          <w:rtl/>
        </w:rPr>
        <w:t xml:space="preserve">, פסקה 13 </w:t>
      </w:r>
      <w:r w:rsidRPr="007B4B61">
        <w:rPr>
          <w:rtl/>
        </w:rPr>
        <w:t>(</w:t>
      </w:r>
      <w:r>
        <w:rPr>
          <w:rFonts w:hint="cs"/>
          <w:rtl/>
        </w:rPr>
        <w:t>9</w:t>
      </w:r>
      <w:r w:rsidRPr="007B4B61">
        <w:rPr>
          <w:rtl/>
        </w:rPr>
        <w:t>.11.2022)</w:t>
      </w:r>
      <w:r>
        <w:rPr>
          <w:rFonts w:hint="cs"/>
          <w:rtl/>
        </w:rPr>
        <w:t xml:space="preserve">). בנוסף, כשם שנאשם המבקש לחרוג לקולה מהמתחם בשל שיקולי שיקום נדרש לבסס באופן עובדתי ומשכנע את הליך שיקומו; כך גם מצופה עת מבוקשת חריגה לקולה בשל שיקולי צדק בכלל, ושיקולים שעניינם מצבו הרפואי של הנאשם בפרט, כי הנאשם יספק תשתית עובדתית ורפואית המלמדת על מצבו ומבססת את טענותיו. </w:t>
      </w:r>
    </w:p>
    <w:p w:rsidR="00B40899" w:rsidRDefault="00B40899" w:rsidP="00292D3F">
      <w:pPr>
        <w:pStyle w:val="Ruller41"/>
        <w:rPr>
          <w:rtl/>
        </w:rPr>
      </w:pPr>
    </w:p>
    <w:p w:rsidR="00292D3F" w:rsidRPr="00851A95" w:rsidRDefault="00292D3F" w:rsidP="00292D3F">
      <w:pPr>
        <w:pStyle w:val="Ruller41"/>
        <w:rPr>
          <w:rFonts w:ascii="Century" w:hAnsi="Century" w:cs="Miriam"/>
          <w:b/>
          <w:spacing w:val="0"/>
          <w:szCs w:val="24"/>
          <w:rtl/>
        </w:rPr>
      </w:pPr>
      <w:r>
        <w:rPr>
          <w:rFonts w:ascii="Century" w:hAnsi="Century" w:cs="Miriam"/>
          <w:b/>
          <w:spacing w:val="0"/>
          <w:szCs w:val="24"/>
          <w:rtl/>
        </w:rPr>
        <w:tab/>
      </w:r>
      <w:r w:rsidRPr="00851A95">
        <w:rPr>
          <w:rFonts w:ascii="Century" w:hAnsi="Century" w:cs="Miriam" w:hint="cs"/>
          <w:b/>
          <w:spacing w:val="0"/>
          <w:szCs w:val="24"/>
          <w:rtl/>
        </w:rPr>
        <w:t xml:space="preserve">חריגה לקולה בעבירת הרצח </w:t>
      </w:r>
      <w:r w:rsidR="00F266C5">
        <w:rPr>
          <w:rFonts w:ascii="Century" w:hAnsi="Century" w:cs="Miriam" w:hint="cs"/>
          <w:b/>
          <w:spacing w:val="0"/>
          <w:szCs w:val="24"/>
          <w:rtl/>
        </w:rPr>
        <w:t>הבסיסית</w:t>
      </w:r>
    </w:p>
    <w:p w:rsidR="00292D3F" w:rsidRDefault="00292D3F" w:rsidP="00292D3F">
      <w:pPr>
        <w:pStyle w:val="Ruller41"/>
        <w:rPr>
          <w:rtl/>
        </w:rPr>
      </w:pPr>
    </w:p>
    <w:p w:rsidR="00292D3F" w:rsidRDefault="00292D3F" w:rsidP="00292D3F">
      <w:pPr>
        <w:pStyle w:val="Ruller4"/>
      </w:pPr>
      <w:r>
        <w:rPr>
          <w:rFonts w:hint="cs"/>
          <w:rtl/>
        </w:rPr>
        <w:t xml:space="preserve">מכאן ליישום הדברים בעבירת הרצח </w:t>
      </w:r>
      <w:r w:rsidR="00F266C5">
        <w:rPr>
          <w:rFonts w:ascii="Century" w:hAnsi="Century" w:hint="cs"/>
          <w:sz w:val="22"/>
          <w:rtl/>
        </w:rPr>
        <w:t>הבסיסית</w:t>
      </w:r>
      <w:r>
        <w:rPr>
          <w:rFonts w:hint="cs"/>
          <w:rtl/>
        </w:rPr>
        <w:t xml:space="preserve">. בפסיקה אמנם טרם התגבשו אמות מידה חד-משמעיות הקובעות באילו מקרים ישנה "חומרה יתרה" במעשה העבירה ובמידת אשמו של הנאשם. אולם, לדידי, אין ספק כי </w:t>
      </w:r>
      <w:r w:rsidRPr="00A5519E">
        <w:rPr>
          <w:rFonts w:ascii="Century" w:hAnsi="Century" w:cs="Miriam" w:hint="cs"/>
          <w:b/>
          <w:spacing w:val="0"/>
          <w:sz w:val="22"/>
          <w:szCs w:val="24"/>
          <w:rtl/>
        </w:rPr>
        <w:t>עבירת הרצח</w:t>
      </w:r>
      <w:r>
        <w:rPr>
          <w:rFonts w:hint="cs"/>
          <w:rtl/>
        </w:rPr>
        <w:t xml:space="preserve"> </w:t>
      </w:r>
      <w:r w:rsidRPr="00C07410">
        <w:rPr>
          <w:rFonts w:ascii="Century" w:hAnsi="Century" w:cs="Miriam" w:hint="cs"/>
          <w:b/>
          <w:spacing w:val="0"/>
          <w:sz w:val="22"/>
          <w:szCs w:val="24"/>
          <w:rtl/>
        </w:rPr>
        <w:t>הבסיסית</w:t>
      </w:r>
      <w:r w:rsidRPr="00D07ED0">
        <w:rPr>
          <w:rFonts w:hint="cs"/>
          <w:rtl/>
        </w:rPr>
        <w:t xml:space="preserve"> </w:t>
      </w:r>
      <w:r>
        <w:rPr>
          <w:rFonts w:hint="cs"/>
          <w:rtl/>
        </w:rPr>
        <w:t xml:space="preserve">כשלעצמה מגלמת "חומרה יתרה" במעשה העבירה, באופן המכניסה לגדרי תחולת סעיף 40ד(ב) לחוק. כך גם, נכון אני להניח כי ככלל תהא מידת אשמו של </w:t>
      </w:r>
      <w:r w:rsidRPr="00A5519E">
        <w:rPr>
          <w:rFonts w:ascii="Century" w:hAnsi="Century" w:cs="Miriam" w:hint="cs"/>
          <w:b/>
          <w:spacing w:val="0"/>
          <w:sz w:val="22"/>
          <w:szCs w:val="24"/>
          <w:rtl/>
        </w:rPr>
        <w:t>הרוצח</w:t>
      </w:r>
      <w:r w:rsidRPr="00043D47">
        <w:rPr>
          <w:rFonts w:hint="cs"/>
          <w:rtl/>
        </w:rPr>
        <w:t xml:space="preserve"> </w:t>
      </w:r>
      <w:r>
        <w:rPr>
          <w:rFonts w:hint="cs"/>
          <w:rtl/>
        </w:rPr>
        <w:t xml:space="preserve">בעלת "חומרה יתרה" המתאימה לגדרי הסעיף, גם מבלי שנלוו למעשיו נסיבות קונקרטיות מחמירות בפני עצמן (כן ראו: </w:t>
      </w:r>
      <w:r w:rsidRPr="009C543B">
        <w:rPr>
          <w:rFonts w:ascii="Century" w:hAnsi="Century" w:cs="Miriam" w:hint="cs"/>
          <w:b/>
          <w:spacing w:val="0"/>
          <w:sz w:val="22"/>
          <w:szCs w:val="24"/>
          <w:rtl/>
        </w:rPr>
        <w:t xml:space="preserve">רבין </w:t>
      </w:r>
      <w:proofErr w:type="spellStart"/>
      <w:r w:rsidRPr="009C543B">
        <w:rPr>
          <w:rFonts w:ascii="Century" w:hAnsi="Century" w:cs="Miriam" w:hint="cs"/>
          <w:b/>
          <w:spacing w:val="0"/>
          <w:sz w:val="22"/>
          <w:szCs w:val="24"/>
          <w:rtl/>
        </w:rPr>
        <w:t>וואקי</w:t>
      </w:r>
      <w:proofErr w:type="spellEnd"/>
      <w:r>
        <w:rPr>
          <w:rFonts w:hint="cs"/>
          <w:rtl/>
        </w:rPr>
        <w:t xml:space="preserve">, בעמ' 110). בצד זאת, מובן כי כל מקרה ונסיבותיו הוא, וכל רוצח ומידת אשמו </w:t>
      </w:r>
      <w:r>
        <w:rPr>
          <w:rtl/>
        </w:rPr>
        <w:t>–</w:t>
      </w:r>
      <w:r>
        <w:rPr>
          <w:rFonts w:hint="cs"/>
          <w:rtl/>
        </w:rPr>
        <w:t xml:space="preserve"> בפני עצמה, כך שייתכן ויקום המקרה המתאים שאינו נכנס לגדרי סעיף 40ד(ב) לחוק. </w:t>
      </w:r>
    </w:p>
    <w:p w:rsidR="00292D3F" w:rsidRDefault="00292D3F" w:rsidP="00292D3F">
      <w:pPr>
        <w:pStyle w:val="Ruller4"/>
        <w:numPr>
          <w:ilvl w:val="0"/>
          <w:numId w:val="0"/>
        </w:numPr>
        <w:rPr>
          <w:rtl/>
        </w:rPr>
      </w:pPr>
    </w:p>
    <w:p w:rsidR="00292D3F" w:rsidRPr="00E023B5" w:rsidRDefault="00292D3F" w:rsidP="00292D3F">
      <w:pPr>
        <w:pStyle w:val="Ruller4"/>
        <w:rPr>
          <w:rFonts w:ascii="Century" w:hAnsi="Century"/>
          <w:rtl/>
        </w:rPr>
      </w:pPr>
      <w:r>
        <w:rPr>
          <w:rFonts w:hint="cs"/>
          <w:rtl/>
        </w:rPr>
        <w:t xml:space="preserve">גם במסגרת סעיף 40ד(ב) לחוק, השמור לעבירות הנושאות חומרה יתרה, יש להתחשב פעם נוספת בחומרת העבירה ובמידת אשמו של הנאשם, שהרי ככל שהעבירה חמורה יותר </w:t>
      </w:r>
      <w:r>
        <w:rPr>
          <w:rtl/>
        </w:rPr>
        <w:t>–</w:t>
      </w:r>
      <w:r>
        <w:rPr>
          <w:rFonts w:hint="cs"/>
          <w:rtl/>
        </w:rPr>
        <w:t xml:space="preserve"> כך גובר הנטל על המבקש לחרוג לקולה מהמתחם. עת עסקינן בעבירת הרצח </w:t>
      </w:r>
      <w:r w:rsidR="00F266C5">
        <w:rPr>
          <w:rFonts w:hint="cs"/>
          <w:rtl/>
        </w:rPr>
        <w:t>הבסיסית</w:t>
      </w:r>
      <w:r>
        <w:rPr>
          <w:rFonts w:hint="cs"/>
          <w:rtl/>
        </w:rPr>
        <w:t xml:space="preserve">, ברי כי במסגרת שקלול חומרת העבירה יחד עם שיקולי השיקום, הרף הדרוש להתקיימות "נסיבות מיוחדות ויוצאות דופן" אשר יש בהן כדי לאפשר חריגה לקולה ממתחם העונש </w:t>
      </w:r>
      <w:r w:rsidRPr="00E023B5">
        <w:rPr>
          <w:rFonts w:ascii="Century" w:hAnsi="Century" w:hint="cs"/>
          <w:rtl/>
        </w:rPr>
        <w:t>ממוקם גבוה ביותר.</w:t>
      </w:r>
    </w:p>
    <w:p w:rsidR="00292D3F" w:rsidRDefault="00292D3F" w:rsidP="00292D3F">
      <w:pPr>
        <w:pStyle w:val="Ruller41"/>
        <w:rPr>
          <w:rtl/>
        </w:rPr>
      </w:pPr>
    </w:p>
    <w:p w:rsidR="00292D3F" w:rsidRDefault="00292D3F" w:rsidP="00292D3F">
      <w:pPr>
        <w:pStyle w:val="Ruller4"/>
      </w:pPr>
      <w:r>
        <w:rPr>
          <w:rFonts w:hint="cs"/>
          <w:rtl/>
        </w:rPr>
        <w:t xml:space="preserve">על אותה הדרך, אני סבור כי בשל נשגבות עקרון קדושת החיים, יש להחיל אמות מידה מחמירות לחריגה ממתחם העונש ההולם בעבירת הרצח, אף מכוח </w:t>
      </w:r>
      <w:r w:rsidRPr="004D5591">
        <w:rPr>
          <w:rFonts w:ascii="Century" w:hAnsi="Century" w:cs="Miriam" w:hint="cs"/>
          <w:b/>
          <w:spacing w:val="0"/>
          <w:sz w:val="22"/>
          <w:szCs w:val="24"/>
          <w:rtl/>
        </w:rPr>
        <w:t>שיקולי צדק</w:t>
      </w:r>
      <w:r>
        <w:rPr>
          <w:rFonts w:hint="cs"/>
          <w:rtl/>
        </w:rPr>
        <w:t xml:space="preserve">. כבר בעניין </w:t>
      </w:r>
      <w:proofErr w:type="spellStart"/>
      <w:r w:rsidRPr="00CC62F4">
        <w:rPr>
          <w:rFonts w:ascii="Century" w:hAnsi="Century" w:cs="Miriam" w:hint="cs"/>
          <w:b/>
          <w:spacing w:val="0"/>
          <w:sz w:val="22"/>
          <w:szCs w:val="24"/>
          <w:rtl/>
        </w:rPr>
        <w:t>קלנר</w:t>
      </w:r>
      <w:proofErr w:type="spellEnd"/>
      <w:r>
        <w:rPr>
          <w:rFonts w:hint="cs"/>
          <w:rtl/>
        </w:rPr>
        <w:t xml:space="preserve">, הודגש כאמור כי לצורך בחינת אפשרות לחרוג מהמתחם לקולה, נבחנים שיקולי הצדק למול חומרת המעשים בהם הורשע הנאשם, נסיבות ביצוען ומידת מסוכנותו. ברי אפוא כי ככל שהעבירה ונסיבותיה חמורות יותר </w:t>
      </w:r>
      <w:r>
        <w:rPr>
          <w:rtl/>
        </w:rPr>
        <w:t>–</w:t>
      </w:r>
      <w:r>
        <w:rPr>
          <w:rFonts w:hint="cs"/>
          <w:rtl/>
        </w:rPr>
        <w:t xml:space="preserve"> כך נדרשים שיקולי צדק משמעותיים יותר; וממילא, בעבירת הרצח, בשל חומרתה ולנוכח מידת אשמו של הרוצח, יידרשו שיקולי צדק </w:t>
      </w:r>
      <w:r w:rsidRPr="004512D8">
        <w:rPr>
          <w:rFonts w:ascii="Century" w:hAnsi="Century" w:cs="Miriam" w:hint="cs"/>
          <w:b/>
          <w:spacing w:val="0"/>
          <w:sz w:val="22"/>
          <w:szCs w:val="24"/>
          <w:rtl/>
        </w:rPr>
        <w:t>הרי-גורל</w:t>
      </w:r>
      <w:r w:rsidRPr="004512D8">
        <w:rPr>
          <w:rFonts w:hint="cs"/>
          <w:rtl/>
        </w:rPr>
        <w:t xml:space="preserve"> </w:t>
      </w:r>
      <w:r>
        <w:rPr>
          <w:rFonts w:hint="cs"/>
          <w:rtl/>
        </w:rPr>
        <w:t xml:space="preserve">כדי להטות את הכף לטובת חריגה לקולה מהמתחם. </w:t>
      </w:r>
    </w:p>
    <w:p w:rsidR="00292D3F" w:rsidRDefault="00292D3F" w:rsidP="00292D3F">
      <w:pPr>
        <w:pStyle w:val="Ruller41"/>
        <w:rPr>
          <w:rtl/>
        </w:rPr>
      </w:pPr>
    </w:p>
    <w:p w:rsidR="00292D3F" w:rsidRDefault="00292D3F" w:rsidP="00292D3F">
      <w:pPr>
        <w:pStyle w:val="Ruller4"/>
        <w:rPr>
          <w:rtl/>
        </w:rPr>
      </w:pPr>
      <w:r w:rsidRPr="00BD1038">
        <w:rPr>
          <w:rFonts w:hint="cs"/>
          <w:rtl/>
        </w:rPr>
        <w:t>על כל זאת יש להוסיף כי האפשרות</w:t>
      </w:r>
      <w:r>
        <w:rPr>
          <w:rFonts w:hint="cs"/>
          <w:rtl/>
        </w:rPr>
        <w:t xml:space="preserve"> המצומצמת לחרוג לקולה ממתחם העונש ההולם בעבירת הרצח </w:t>
      </w:r>
      <w:r w:rsidR="00F266C5">
        <w:rPr>
          <w:rFonts w:hint="cs"/>
          <w:rtl/>
        </w:rPr>
        <w:t>הבסיסית</w:t>
      </w:r>
      <w:r>
        <w:rPr>
          <w:rFonts w:hint="cs"/>
          <w:rtl/>
        </w:rPr>
        <w:t xml:space="preserve"> מתיישבת היטב עם מגמת פסיקת בית משפט זה, ומהווה נדבך נוסף בהתוויית מדיניות הענישה בעבירה זו. כזכור, </w:t>
      </w:r>
      <w:r>
        <w:rPr>
          <w:rFonts w:hint="cs"/>
          <w:shd w:val="clear" w:color="auto" w:fill="FFFFFF"/>
          <w:rtl/>
        </w:rPr>
        <w:t xml:space="preserve">בעניין </w:t>
      </w:r>
      <w:r w:rsidRPr="009157B5">
        <w:rPr>
          <w:rFonts w:ascii="Century" w:hAnsi="Century" w:cs="Miriam" w:hint="cs"/>
          <w:b/>
          <w:spacing w:val="0"/>
          <w:sz w:val="22"/>
          <w:szCs w:val="24"/>
          <w:shd w:val="clear" w:color="auto" w:fill="FFFFFF"/>
          <w:rtl/>
        </w:rPr>
        <w:t>קאדר</w:t>
      </w:r>
      <w:r w:rsidRPr="009157B5">
        <w:rPr>
          <w:rFonts w:hint="cs"/>
          <w:shd w:val="clear" w:color="auto" w:fill="FFFFFF"/>
          <w:rtl/>
        </w:rPr>
        <w:t xml:space="preserve"> </w:t>
      </w:r>
      <w:r>
        <w:rPr>
          <w:rFonts w:hint="cs"/>
          <w:shd w:val="clear" w:color="auto" w:fill="FFFFFF"/>
          <w:rtl/>
        </w:rPr>
        <w:t xml:space="preserve">נקבע כי עקרון ההלימה וערך קדושת החיים מצדיקים כי בעבירת הרצח </w:t>
      </w:r>
      <w:r w:rsidR="00F266C5">
        <w:rPr>
          <w:rFonts w:hint="cs"/>
          <w:shd w:val="clear" w:color="auto" w:fill="FFFFFF"/>
          <w:rtl/>
        </w:rPr>
        <w:t>הבסיסית</w:t>
      </w:r>
      <w:r>
        <w:rPr>
          <w:rFonts w:hint="cs"/>
          <w:shd w:val="clear" w:color="auto" w:fill="FFFFFF"/>
          <w:rtl/>
        </w:rPr>
        <w:t xml:space="preserve"> ייקבע מתחם ענישה </w:t>
      </w:r>
      <w:r w:rsidRPr="00D43E3C">
        <w:rPr>
          <w:rFonts w:ascii="Century" w:hAnsi="Century" w:hint="cs"/>
          <w:sz w:val="22"/>
          <w:shd w:val="clear" w:color="auto" w:fill="FFFFFF"/>
          <w:rtl/>
        </w:rPr>
        <w:t>מצומצם.</w:t>
      </w:r>
      <w:r>
        <w:rPr>
          <w:rFonts w:hint="cs"/>
          <w:shd w:val="clear" w:color="auto" w:fill="FFFFFF"/>
          <w:rtl/>
        </w:rPr>
        <w:t xml:space="preserve"> בשלב הבא, בעניין </w:t>
      </w:r>
      <w:proofErr w:type="spellStart"/>
      <w:r w:rsidRPr="007D1BF5">
        <w:rPr>
          <w:rFonts w:ascii="Century" w:hAnsi="Century" w:cs="Miriam" w:hint="cs"/>
          <w:b/>
          <w:spacing w:val="0"/>
          <w:sz w:val="22"/>
          <w:szCs w:val="24"/>
          <w:shd w:val="clear" w:color="auto" w:fill="FFFFFF"/>
          <w:rtl/>
        </w:rPr>
        <w:t>גריפאת</w:t>
      </w:r>
      <w:proofErr w:type="spellEnd"/>
      <w:r w:rsidRPr="007D1BF5">
        <w:rPr>
          <w:rFonts w:hint="cs"/>
          <w:shd w:val="clear" w:color="auto" w:fill="FFFFFF"/>
          <w:rtl/>
        </w:rPr>
        <w:t xml:space="preserve"> </w:t>
      </w:r>
      <w:r>
        <w:rPr>
          <w:rFonts w:hint="cs"/>
          <w:shd w:val="clear" w:color="auto" w:fill="FFFFFF"/>
          <w:rtl/>
        </w:rPr>
        <w:t xml:space="preserve">נקבע באשר למשקלן של נסיבות שאינן קשורות בביצוע העבירה </w:t>
      </w:r>
      <w:r>
        <w:rPr>
          <w:rFonts w:hint="cs"/>
          <w:rtl/>
        </w:rPr>
        <w:t xml:space="preserve">לעניין גזירת עונשו של הרוצח כי </w:t>
      </w:r>
      <w:r w:rsidRPr="00463B7A">
        <w:rPr>
          <w:szCs w:val="22"/>
          <w:rtl/>
        </w:rPr>
        <w:t>"</w:t>
      </w:r>
      <w:r w:rsidRPr="00463B7A">
        <w:rPr>
          <w:rFonts w:ascii="Century" w:hAnsi="Century" w:cs="Miriam" w:hint="eastAsia"/>
          <w:b/>
          <w:spacing w:val="0"/>
          <w:sz w:val="22"/>
          <w:szCs w:val="24"/>
          <w:rtl/>
        </w:rPr>
        <w:t>נסיבות</w:t>
      </w:r>
      <w:r w:rsidRPr="00463B7A">
        <w:rPr>
          <w:rFonts w:ascii="Century" w:hAnsi="Century" w:cs="Miriam"/>
          <w:b/>
          <w:spacing w:val="0"/>
          <w:sz w:val="22"/>
          <w:szCs w:val="24"/>
          <w:rtl/>
        </w:rPr>
        <w:t xml:space="preserve"> </w:t>
      </w:r>
      <w:r w:rsidRPr="00463B7A">
        <w:rPr>
          <w:rFonts w:ascii="Century" w:hAnsi="Century" w:cs="Miriam" w:hint="eastAsia"/>
          <w:b/>
          <w:spacing w:val="0"/>
          <w:sz w:val="22"/>
          <w:szCs w:val="24"/>
          <w:rtl/>
        </w:rPr>
        <w:t>אלו</w:t>
      </w:r>
      <w:r w:rsidRPr="00463B7A">
        <w:rPr>
          <w:rFonts w:ascii="Century" w:hAnsi="Century" w:cs="Miriam"/>
          <w:b/>
          <w:spacing w:val="0"/>
          <w:sz w:val="22"/>
          <w:szCs w:val="24"/>
          <w:rtl/>
        </w:rPr>
        <w:t xml:space="preserve"> </w:t>
      </w:r>
      <w:r w:rsidRPr="00463B7A">
        <w:rPr>
          <w:rFonts w:ascii="Century" w:hAnsi="Century" w:cs="Miriam" w:hint="eastAsia"/>
          <w:b/>
          <w:spacing w:val="0"/>
          <w:sz w:val="22"/>
          <w:szCs w:val="24"/>
          <w:rtl/>
        </w:rPr>
        <w:t>נמדדות</w:t>
      </w:r>
      <w:r w:rsidRPr="00463B7A">
        <w:rPr>
          <w:rFonts w:ascii="Century" w:hAnsi="Century" w:cs="Miriam"/>
          <w:b/>
          <w:spacing w:val="0"/>
          <w:sz w:val="22"/>
          <w:szCs w:val="24"/>
          <w:rtl/>
        </w:rPr>
        <w:t xml:space="preserve">, </w:t>
      </w:r>
      <w:r w:rsidRPr="00463B7A">
        <w:rPr>
          <w:rFonts w:ascii="Century" w:hAnsi="Century" w:cs="Miriam" w:hint="eastAsia"/>
          <w:b/>
          <w:spacing w:val="0"/>
          <w:sz w:val="22"/>
          <w:szCs w:val="24"/>
          <w:rtl/>
        </w:rPr>
        <w:t>בין</w:t>
      </w:r>
      <w:r w:rsidRPr="00463B7A">
        <w:rPr>
          <w:rFonts w:ascii="Century" w:hAnsi="Century" w:cs="Miriam"/>
          <w:b/>
          <w:spacing w:val="0"/>
          <w:sz w:val="22"/>
          <w:szCs w:val="24"/>
          <w:rtl/>
        </w:rPr>
        <w:t xml:space="preserve"> </w:t>
      </w:r>
      <w:r w:rsidRPr="00463B7A">
        <w:rPr>
          <w:rFonts w:ascii="Century" w:hAnsi="Century" w:cs="Miriam" w:hint="eastAsia"/>
          <w:b/>
          <w:spacing w:val="0"/>
          <w:sz w:val="22"/>
          <w:szCs w:val="24"/>
          <w:rtl/>
        </w:rPr>
        <w:t>היתר</w:t>
      </w:r>
      <w:r w:rsidRPr="00463B7A">
        <w:rPr>
          <w:rFonts w:ascii="Century" w:hAnsi="Century" w:cs="Miriam"/>
          <w:b/>
          <w:spacing w:val="0"/>
          <w:sz w:val="22"/>
          <w:szCs w:val="24"/>
          <w:rtl/>
        </w:rPr>
        <w:t xml:space="preserve">, </w:t>
      </w:r>
      <w:r w:rsidRPr="00463B7A">
        <w:rPr>
          <w:rFonts w:ascii="Century" w:hAnsi="Century" w:cs="Miriam" w:hint="eastAsia"/>
          <w:b/>
          <w:spacing w:val="0"/>
          <w:sz w:val="22"/>
          <w:szCs w:val="24"/>
          <w:rtl/>
        </w:rPr>
        <w:t>למול</w:t>
      </w:r>
      <w:r w:rsidRPr="00463B7A">
        <w:rPr>
          <w:rFonts w:ascii="Century" w:hAnsi="Century" w:cs="Miriam"/>
          <w:b/>
          <w:spacing w:val="0"/>
          <w:sz w:val="22"/>
          <w:szCs w:val="24"/>
          <w:rtl/>
        </w:rPr>
        <w:t xml:space="preserve"> </w:t>
      </w:r>
      <w:r w:rsidRPr="00463B7A">
        <w:rPr>
          <w:rFonts w:ascii="Century" w:hAnsi="Century" w:cs="Miriam" w:hint="eastAsia"/>
          <w:b/>
          <w:spacing w:val="0"/>
          <w:sz w:val="22"/>
          <w:szCs w:val="24"/>
          <w:rtl/>
        </w:rPr>
        <w:t>עוצמת</w:t>
      </w:r>
      <w:r w:rsidRPr="00463B7A">
        <w:rPr>
          <w:rFonts w:ascii="Century" w:hAnsi="Century" w:cs="Miriam"/>
          <w:b/>
          <w:spacing w:val="0"/>
          <w:sz w:val="22"/>
          <w:szCs w:val="24"/>
          <w:rtl/>
        </w:rPr>
        <w:t xml:space="preserve"> </w:t>
      </w:r>
      <w:r w:rsidRPr="00463B7A">
        <w:rPr>
          <w:rFonts w:ascii="Century" w:hAnsi="Century" w:cs="Miriam" w:hint="eastAsia"/>
          <w:b/>
          <w:spacing w:val="0"/>
          <w:sz w:val="22"/>
          <w:szCs w:val="24"/>
          <w:rtl/>
        </w:rPr>
        <w:t>הפגיעה</w:t>
      </w:r>
      <w:r w:rsidRPr="00463B7A">
        <w:rPr>
          <w:rFonts w:ascii="Century" w:hAnsi="Century" w:cs="Miriam"/>
          <w:b/>
          <w:spacing w:val="0"/>
          <w:sz w:val="22"/>
          <w:szCs w:val="24"/>
          <w:rtl/>
        </w:rPr>
        <w:t xml:space="preserve"> [...] </w:t>
      </w:r>
      <w:r w:rsidRPr="00463B7A">
        <w:rPr>
          <w:rFonts w:ascii="Century" w:hAnsi="Century" w:cs="Miriam" w:hint="eastAsia"/>
          <w:b/>
          <w:spacing w:val="0"/>
          <w:sz w:val="22"/>
          <w:szCs w:val="24"/>
          <w:rtl/>
        </w:rPr>
        <w:t>בערכים</w:t>
      </w:r>
      <w:r w:rsidRPr="00463B7A">
        <w:rPr>
          <w:rFonts w:ascii="Century" w:hAnsi="Century" w:cs="Miriam"/>
          <w:b/>
          <w:spacing w:val="0"/>
          <w:sz w:val="22"/>
          <w:szCs w:val="24"/>
          <w:rtl/>
        </w:rPr>
        <w:t xml:space="preserve"> </w:t>
      </w:r>
      <w:r w:rsidRPr="00463B7A">
        <w:rPr>
          <w:rFonts w:ascii="Century" w:hAnsi="Century" w:cs="Miriam" w:hint="eastAsia"/>
          <w:b/>
          <w:spacing w:val="0"/>
          <w:sz w:val="22"/>
          <w:szCs w:val="24"/>
          <w:rtl/>
        </w:rPr>
        <w:t>המוגנים</w:t>
      </w:r>
      <w:r w:rsidRPr="00463B7A">
        <w:rPr>
          <w:rFonts w:ascii="Century" w:hAnsi="Century" w:cs="Miriam"/>
          <w:b/>
          <w:spacing w:val="0"/>
          <w:sz w:val="22"/>
          <w:szCs w:val="24"/>
          <w:rtl/>
        </w:rPr>
        <w:t xml:space="preserve"> </w:t>
      </w:r>
      <w:r w:rsidRPr="00463B7A">
        <w:rPr>
          <w:rFonts w:ascii="Century" w:hAnsi="Century" w:cs="Miriam" w:hint="eastAsia"/>
          <w:b/>
          <w:spacing w:val="0"/>
          <w:sz w:val="22"/>
          <w:szCs w:val="24"/>
          <w:rtl/>
        </w:rPr>
        <w:t>בעבירת</w:t>
      </w:r>
      <w:r w:rsidRPr="00463B7A">
        <w:rPr>
          <w:rFonts w:ascii="Century" w:hAnsi="Century" w:cs="Miriam"/>
          <w:b/>
          <w:spacing w:val="0"/>
          <w:sz w:val="22"/>
          <w:szCs w:val="24"/>
          <w:rtl/>
        </w:rPr>
        <w:t xml:space="preserve"> </w:t>
      </w:r>
      <w:r w:rsidRPr="00463B7A">
        <w:rPr>
          <w:rFonts w:ascii="Century" w:hAnsi="Century" w:cs="Miriam" w:hint="eastAsia"/>
          <w:b/>
          <w:spacing w:val="0"/>
          <w:sz w:val="22"/>
          <w:szCs w:val="24"/>
          <w:rtl/>
        </w:rPr>
        <w:t>הרצח</w:t>
      </w:r>
      <w:r w:rsidRPr="00463B7A">
        <w:rPr>
          <w:szCs w:val="22"/>
          <w:rtl/>
        </w:rPr>
        <w:t xml:space="preserve">" </w:t>
      </w:r>
      <w:r>
        <w:rPr>
          <w:rFonts w:hint="cs"/>
          <w:rtl/>
        </w:rPr>
        <w:t>(</w:t>
      </w:r>
      <w:r w:rsidRPr="00463B7A">
        <w:rPr>
          <w:rFonts w:hint="eastAsia"/>
          <w:rtl/>
        </w:rPr>
        <w:t>ע</w:t>
      </w:r>
      <w:r w:rsidRPr="00463B7A">
        <w:rPr>
          <w:rtl/>
        </w:rPr>
        <w:t>"</w:t>
      </w:r>
      <w:r w:rsidRPr="00463B7A">
        <w:rPr>
          <w:rFonts w:hint="eastAsia"/>
          <w:rtl/>
        </w:rPr>
        <w:t>פ</w:t>
      </w:r>
      <w:r w:rsidRPr="00463B7A">
        <w:rPr>
          <w:rtl/>
        </w:rPr>
        <w:t xml:space="preserve"> 5806/22 </w:t>
      </w:r>
      <w:r w:rsidRPr="00463B7A">
        <w:rPr>
          <w:rFonts w:ascii="Century" w:hAnsi="Century" w:cs="Miriam" w:hint="eastAsia"/>
          <w:b/>
          <w:spacing w:val="0"/>
          <w:sz w:val="22"/>
          <w:szCs w:val="24"/>
          <w:rtl/>
        </w:rPr>
        <w:t>מדינת</w:t>
      </w:r>
      <w:r w:rsidRPr="00463B7A">
        <w:rPr>
          <w:rFonts w:ascii="Century" w:hAnsi="Century" w:cs="Miriam"/>
          <w:b/>
          <w:spacing w:val="0"/>
          <w:sz w:val="22"/>
          <w:szCs w:val="24"/>
          <w:rtl/>
        </w:rPr>
        <w:t xml:space="preserve"> </w:t>
      </w:r>
      <w:r w:rsidRPr="00463B7A">
        <w:rPr>
          <w:rFonts w:ascii="Century" w:hAnsi="Century" w:cs="Miriam" w:hint="eastAsia"/>
          <w:b/>
          <w:spacing w:val="0"/>
          <w:sz w:val="22"/>
          <w:szCs w:val="24"/>
          <w:rtl/>
        </w:rPr>
        <w:t>ישראל</w:t>
      </w:r>
      <w:r w:rsidRPr="00463B7A">
        <w:rPr>
          <w:rFonts w:ascii="Century" w:hAnsi="Century" w:cs="Miriam"/>
          <w:b/>
          <w:spacing w:val="0"/>
          <w:sz w:val="22"/>
          <w:szCs w:val="24"/>
          <w:rtl/>
        </w:rPr>
        <w:t xml:space="preserve"> </w:t>
      </w:r>
      <w:r w:rsidRPr="00463B7A">
        <w:rPr>
          <w:rFonts w:ascii="Century" w:hAnsi="Century" w:cs="Miriam" w:hint="eastAsia"/>
          <w:b/>
          <w:spacing w:val="0"/>
          <w:sz w:val="22"/>
          <w:szCs w:val="24"/>
          <w:rtl/>
        </w:rPr>
        <w:t>נ</w:t>
      </w:r>
      <w:r w:rsidRPr="00463B7A">
        <w:rPr>
          <w:rFonts w:ascii="Century" w:hAnsi="Century" w:cs="Miriam"/>
          <w:b/>
          <w:spacing w:val="0"/>
          <w:sz w:val="22"/>
          <w:szCs w:val="24"/>
          <w:rtl/>
        </w:rPr>
        <w:t xml:space="preserve">' </w:t>
      </w:r>
      <w:proofErr w:type="spellStart"/>
      <w:r w:rsidRPr="00463B7A">
        <w:rPr>
          <w:rFonts w:ascii="Century" w:hAnsi="Century" w:cs="Miriam" w:hint="eastAsia"/>
          <w:b/>
          <w:spacing w:val="0"/>
          <w:sz w:val="22"/>
          <w:szCs w:val="24"/>
          <w:rtl/>
        </w:rPr>
        <w:t>גריפאת</w:t>
      </w:r>
      <w:proofErr w:type="spellEnd"/>
      <w:r>
        <w:rPr>
          <w:rFonts w:hint="cs"/>
          <w:rtl/>
        </w:rPr>
        <w:t xml:space="preserve">, פסקה 21 </w:t>
      </w:r>
      <w:r w:rsidRPr="00463B7A">
        <w:rPr>
          <w:rtl/>
        </w:rPr>
        <w:t>(20.11.2022)</w:t>
      </w:r>
      <w:r>
        <w:rPr>
          <w:rFonts w:hint="cs"/>
          <w:rtl/>
        </w:rPr>
        <w:t>)</w:t>
      </w:r>
      <w:r>
        <w:rPr>
          <w:rFonts w:hint="cs"/>
          <w:shd w:val="clear" w:color="auto" w:fill="FFFFFF"/>
          <w:rtl/>
        </w:rPr>
        <w:t xml:space="preserve">. בהמשך ובאופן משלים, </w:t>
      </w:r>
      <w:r w:rsidRPr="003A7695">
        <w:rPr>
          <w:rFonts w:hint="cs"/>
          <w:shd w:val="clear" w:color="auto" w:fill="FFFFFF"/>
          <w:rtl/>
        </w:rPr>
        <w:t xml:space="preserve">בעניין </w:t>
      </w:r>
      <w:r w:rsidRPr="003A7695">
        <w:rPr>
          <w:rFonts w:ascii="Century" w:hAnsi="Century" w:cs="Miriam" w:hint="cs"/>
          <w:b/>
          <w:spacing w:val="0"/>
          <w:sz w:val="22"/>
          <w:szCs w:val="24"/>
          <w:shd w:val="clear" w:color="auto" w:fill="FFFFFF"/>
          <w:rtl/>
        </w:rPr>
        <w:t>ניקולקין</w:t>
      </w:r>
      <w:r w:rsidRPr="003A7695">
        <w:rPr>
          <w:rFonts w:hint="cs"/>
          <w:shd w:val="clear" w:color="auto" w:fill="FFFFFF"/>
          <w:rtl/>
        </w:rPr>
        <w:t xml:space="preserve"> הבהרתי כי במסגרת גזירת העונש </w:t>
      </w:r>
      <w:r w:rsidR="00FD4679">
        <w:rPr>
          <w:rFonts w:hint="cs"/>
          <w:shd w:val="clear" w:color="auto" w:fill="FFFFFF"/>
          <w:rtl/>
        </w:rPr>
        <w:t xml:space="preserve">בעבירת </w:t>
      </w:r>
      <w:r>
        <w:rPr>
          <w:rFonts w:hint="cs"/>
          <w:shd w:val="clear" w:color="auto" w:fill="FFFFFF"/>
          <w:rtl/>
        </w:rPr>
        <w:t xml:space="preserve">הרצח </w:t>
      </w:r>
      <w:r w:rsidR="00F266C5">
        <w:rPr>
          <w:rFonts w:hint="cs"/>
          <w:shd w:val="clear" w:color="auto" w:fill="FFFFFF"/>
          <w:rtl/>
        </w:rPr>
        <w:t>הבסיסית</w:t>
      </w:r>
      <w:r w:rsidRPr="003A7695">
        <w:rPr>
          <w:rFonts w:hint="cs"/>
          <w:shd w:val="clear" w:color="auto" w:fill="FFFFFF"/>
          <w:rtl/>
        </w:rPr>
        <w:t xml:space="preserve">, לא בכל מקרה יש לתת משקל משמעותי, אם בכלל, לנסיבות שאינן קשורות בביצוע העבירה. כך שאין לקחת כמובן מאליו כי שיקולים מעין אלו </w:t>
      </w:r>
      <w:r>
        <w:rPr>
          <w:rFonts w:hint="cs"/>
          <w:shd w:val="clear" w:color="auto" w:fill="FFFFFF"/>
          <w:rtl/>
        </w:rPr>
        <w:t>יצדיקו</w:t>
      </w:r>
      <w:r w:rsidRPr="003A7695">
        <w:rPr>
          <w:rFonts w:hint="cs"/>
          <w:shd w:val="clear" w:color="auto" w:fill="FFFFFF"/>
          <w:rtl/>
        </w:rPr>
        <w:t xml:space="preserve"> הקלה בעונשו של הרוצח</w:t>
      </w:r>
      <w:r w:rsidRPr="0074397D">
        <w:rPr>
          <w:rFonts w:ascii="Century" w:hAnsi="Century" w:hint="cs"/>
          <w:sz w:val="22"/>
          <w:shd w:val="clear" w:color="auto" w:fill="FFFFFF"/>
          <w:rtl/>
        </w:rPr>
        <w:t xml:space="preserve">, ואילו כדי למקם את עונשו בתחתית מתחם העונש ההולם נדרשות נסיבות מקלות כבדות משקל במיוחד. </w:t>
      </w:r>
      <w:r w:rsidRPr="0074397D">
        <w:rPr>
          <w:rFonts w:ascii="Century" w:hAnsi="Century" w:hint="cs"/>
          <w:sz w:val="22"/>
          <w:rtl/>
        </w:rPr>
        <w:t xml:space="preserve">עתה, מתווסף נדבך למדיניות הענישה בעבירת הרצח </w:t>
      </w:r>
      <w:r w:rsidR="00F266C5" w:rsidRPr="0074397D">
        <w:rPr>
          <w:rFonts w:ascii="Century" w:hAnsi="Century" w:hint="cs"/>
          <w:sz w:val="22"/>
          <w:rtl/>
        </w:rPr>
        <w:t>הבסיסית</w:t>
      </w:r>
      <w:r w:rsidRPr="0074397D">
        <w:rPr>
          <w:rFonts w:ascii="Century" w:hAnsi="Century" w:hint="cs"/>
          <w:sz w:val="22"/>
          <w:rtl/>
        </w:rPr>
        <w:t>, והוא כי ישנו רף גבוה ביותר ע</w:t>
      </w:r>
      <w:r>
        <w:rPr>
          <w:rFonts w:hint="cs"/>
          <w:rtl/>
        </w:rPr>
        <w:t xml:space="preserve">בור חריגה לקולה ממתחם העונש בעבירה זו, בין משיקולי שיקום, בין משיקולי צדק. </w:t>
      </w:r>
    </w:p>
    <w:p w:rsidR="00292D3F" w:rsidRDefault="00292D3F" w:rsidP="00292D3F">
      <w:pPr>
        <w:pStyle w:val="Ruller4"/>
        <w:numPr>
          <w:ilvl w:val="0"/>
          <w:numId w:val="0"/>
        </w:numPr>
        <w:rPr>
          <w:rtl/>
        </w:rPr>
      </w:pPr>
    </w:p>
    <w:p w:rsidR="00292D3F" w:rsidRDefault="00292D3F" w:rsidP="00292D3F">
      <w:pPr>
        <w:pStyle w:val="Ruller4"/>
        <w:rPr>
          <w:rtl/>
        </w:rPr>
      </w:pPr>
      <w:r w:rsidRPr="00D821CC">
        <w:rPr>
          <w:rFonts w:ascii="Century" w:hAnsi="Century" w:cs="Miriam" w:hint="cs"/>
          <w:b/>
          <w:spacing w:val="0"/>
          <w:sz w:val="22"/>
          <w:szCs w:val="24"/>
          <w:rtl/>
        </w:rPr>
        <w:t>לסיכום חלק זה</w:t>
      </w:r>
      <w:r w:rsidRPr="0040084C">
        <w:rPr>
          <w:rFonts w:hint="cs"/>
          <w:rtl/>
        </w:rPr>
        <w:t xml:space="preserve">: ברובם המוחלט של המקרים בהם הורשע הרוצח בעבירת הרצח </w:t>
      </w:r>
      <w:r w:rsidR="00F266C5">
        <w:rPr>
          <w:rFonts w:hint="cs"/>
          <w:rtl/>
        </w:rPr>
        <w:t>הבסיסית</w:t>
      </w:r>
      <w:r w:rsidRPr="0040084C">
        <w:rPr>
          <w:rFonts w:hint="cs"/>
          <w:rtl/>
        </w:rPr>
        <w:t xml:space="preserve">, המשוכה הניצבת בפני המבקש לחרוג לקולה ממתחם העונש ההולם, בין מכוח שיקולי שיקום ובין מכוח שיקולי צדק </w:t>
      </w:r>
      <w:r w:rsidRPr="0040084C">
        <w:rPr>
          <w:rtl/>
        </w:rPr>
        <w:t>–</w:t>
      </w:r>
      <w:r w:rsidRPr="0040084C">
        <w:rPr>
          <w:rFonts w:hint="cs"/>
          <w:rtl/>
        </w:rPr>
        <w:t xml:space="preserve"> </w:t>
      </w:r>
      <w:r w:rsidRPr="0040084C">
        <w:rPr>
          <w:rFonts w:ascii="Century" w:hAnsi="Century" w:cs="Miriam" w:hint="cs"/>
          <w:b/>
          <w:spacing w:val="0"/>
          <w:szCs w:val="24"/>
          <w:rtl/>
        </w:rPr>
        <w:t>גבוהה עד מאוד</w:t>
      </w:r>
      <w:r w:rsidRPr="0040084C">
        <w:rPr>
          <w:rFonts w:hint="cs"/>
          <w:rtl/>
        </w:rPr>
        <w:t xml:space="preserve">. קביעה זו נלמדת מההוראות הנוקשות של סעיף 40ד(ב) לחוק, מתיישבת </w:t>
      </w:r>
      <w:r w:rsidR="00456248">
        <w:rPr>
          <w:rFonts w:hint="cs"/>
          <w:rtl/>
        </w:rPr>
        <w:t>עם פסיקת בית משפט זה בעניין</w:t>
      </w:r>
      <w:r>
        <w:rPr>
          <w:rFonts w:hint="cs"/>
          <w:rtl/>
        </w:rPr>
        <w:t xml:space="preserve"> </w:t>
      </w:r>
      <w:proofErr w:type="spellStart"/>
      <w:r w:rsidRPr="00FD3EC7">
        <w:rPr>
          <w:rFonts w:ascii="Century" w:hAnsi="Century" w:cs="Miriam" w:hint="cs"/>
          <w:b/>
          <w:spacing w:val="0"/>
          <w:sz w:val="22"/>
          <w:szCs w:val="24"/>
          <w:rtl/>
        </w:rPr>
        <w:t>קלנר</w:t>
      </w:r>
      <w:proofErr w:type="spellEnd"/>
      <w:r>
        <w:rPr>
          <w:rFonts w:hint="cs"/>
          <w:rtl/>
        </w:rPr>
        <w:t>,</w:t>
      </w:r>
      <w:r w:rsidRPr="0040084C">
        <w:rPr>
          <w:rFonts w:hint="cs"/>
          <w:rtl/>
        </w:rPr>
        <w:t xml:space="preserve"> וממשיכה את התוויית מדיניות הענישה בעבירת הרצח </w:t>
      </w:r>
      <w:r w:rsidR="00F266C5">
        <w:rPr>
          <w:rFonts w:hint="cs"/>
          <w:rtl/>
        </w:rPr>
        <w:t>הבסיסית</w:t>
      </w:r>
      <w:r w:rsidRPr="0040084C">
        <w:rPr>
          <w:rFonts w:hint="cs"/>
          <w:rtl/>
        </w:rPr>
        <w:t xml:space="preserve"> לאחר הרפורמה בעבירות ההמתה.</w:t>
      </w:r>
    </w:p>
    <w:p w:rsidR="00292D3F" w:rsidRDefault="00292D3F" w:rsidP="00292D3F">
      <w:pPr>
        <w:pStyle w:val="Ruller41"/>
        <w:rPr>
          <w:rtl/>
        </w:rPr>
      </w:pPr>
    </w:p>
    <w:p w:rsidR="00460C86" w:rsidRDefault="00460C86" w:rsidP="00292D3F">
      <w:pPr>
        <w:pStyle w:val="Ruller41"/>
        <w:rPr>
          <w:rtl/>
        </w:rPr>
      </w:pPr>
    </w:p>
    <w:p w:rsidR="00460C86" w:rsidRPr="001D003F" w:rsidRDefault="00460C86" w:rsidP="00292D3F">
      <w:pPr>
        <w:pStyle w:val="Ruller41"/>
        <w:rPr>
          <w:rtl/>
        </w:rPr>
      </w:pPr>
    </w:p>
    <w:p w:rsidR="00292D3F" w:rsidRPr="0000742D" w:rsidRDefault="00292D3F" w:rsidP="00292D3F">
      <w:pPr>
        <w:pStyle w:val="Ruller41"/>
        <w:rPr>
          <w:rFonts w:ascii="Century" w:hAnsi="Century" w:cs="Miriam"/>
          <w:b/>
          <w:spacing w:val="0"/>
          <w:szCs w:val="24"/>
          <w:rtl/>
        </w:rPr>
      </w:pPr>
      <w:r>
        <w:rPr>
          <w:rFonts w:ascii="Century" w:hAnsi="Century" w:cs="Miriam"/>
          <w:b/>
          <w:spacing w:val="0"/>
          <w:szCs w:val="24"/>
          <w:rtl/>
        </w:rPr>
        <w:lastRenderedPageBreak/>
        <w:tab/>
      </w:r>
      <w:r w:rsidRPr="0000742D">
        <w:rPr>
          <w:rFonts w:ascii="Century" w:hAnsi="Century" w:cs="Miriam" w:hint="cs"/>
          <w:b/>
          <w:spacing w:val="0"/>
          <w:szCs w:val="24"/>
          <w:rtl/>
        </w:rPr>
        <w:t>מן הכלל אל הפרט</w:t>
      </w:r>
    </w:p>
    <w:p w:rsidR="00292D3F" w:rsidRDefault="00292D3F" w:rsidP="00292D3F">
      <w:pPr>
        <w:pStyle w:val="Ruller41"/>
        <w:rPr>
          <w:rtl/>
        </w:rPr>
      </w:pPr>
    </w:p>
    <w:p w:rsidR="00292D3F" w:rsidRDefault="00292D3F" w:rsidP="00491894">
      <w:pPr>
        <w:pStyle w:val="Ruller4"/>
        <w:rPr>
          <w:rtl/>
        </w:rPr>
      </w:pPr>
      <w:r w:rsidRPr="00F70BC3">
        <w:rPr>
          <w:rFonts w:hint="cs"/>
          <w:rtl/>
        </w:rPr>
        <w:t>ובחזרה</w:t>
      </w:r>
      <w:r>
        <w:rPr>
          <w:rFonts w:hint="cs"/>
          <w:rtl/>
        </w:rPr>
        <w:t xml:space="preserve"> לענייננו. כזכור, בית המשפט המחוזי מצא לחרוג ממתחם העונש ההולם בעניינו של המערער לנוכח </w:t>
      </w:r>
      <w:r w:rsidR="00456248">
        <w:rPr>
          <w:rFonts w:hint="cs"/>
          <w:rtl/>
        </w:rPr>
        <w:t>מה שהוגדר כ</w:t>
      </w:r>
      <w:r>
        <w:rPr>
          <w:rFonts w:hint="cs"/>
          <w:rtl/>
        </w:rPr>
        <w:t xml:space="preserve">מצבו הרפואי המורכב, ועל כן גזר עליו </w:t>
      </w:r>
      <w:r w:rsidRPr="0017389B">
        <w:rPr>
          <w:rFonts w:ascii="Century" w:hAnsi="Century" w:cs="Miriam" w:hint="cs"/>
          <w:b/>
          <w:spacing w:val="0"/>
          <w:sz w:val="22"/>
          <w:szCs w:val="24"/>
          <w:rtl/>
        </w:rPr>
        <w:t>18 שנות מאסר בפועל</w:t>
      </w:r>
      <w:r>
        <w:rPr>
          <w:rFonts w:ascii="Century" w:hAnsi="Century" w:cs="Miriam" w:hint="cs"/>
          <w:b/>
          <w:spacing w:val="0"/>
          <w:sz w:val="22"/>
          <w:szCs w:val="24"/>
          <w:rtl/>
        </w:rPr>
        <w:t xml:space="preserve"> </w:t>
      </w:r>
      <w:r w:rsidRPr="0017389B">
        <w:rPr>
          <w:rFonts w:ascii="Century" w:hAnsi="Century" w:hint="cs"/>
          <w:sz w:val="22"/>
          <w:rtl/>
        </w:rPr>
        <w:t>בלבד</w:t>
      </w:r>
      <w:r>
        <w:rPr>
          <w:rFonts w:hint="cs"/>
          <w:rtl/>
        </w:rPr>
        <w:t xml:space="preserve">. אולם, לגישתי, על אף מצבו הבריאותי המורכב של המערער, היה על בית המשפט המחוזי להתחשב בכך </w:t>
      </w:r>
      <w:r w:rsidR="00491894">
        <w:rPr>
          <w:rFonts w:hint="cs"/>
          <w:rtl/>
        </w:rPr>
        <w:t>בקביעת עונשו בתוך</w:t>
      </w:r>
      <w:r>
        <w:rPr>
          <w:rFonts w:hint="cs"/>
          <w:rtl/>
        </w:rPr>
        <w:t xml:space="preserve"> מתחם העונש ההולם והוא אינו מצדיק חריגה מהמתחם לקולה, לא כל שכן הקלה כה ניכרת בעונשו של המערער. </w:t>
      </w:r>
    </w:p>
    <w:p w:rsidR="00292D3F" w:rsidRDefault="00292D3F" w:rsidP="00292D3F">
      <w:pPr>
        <w:pStyle w:val="Ruller41"/>
        <w:rPr>
          <w:rtl/>
        </w:rPr>
      </w:pPr>
    </w:p>
    <w:p w:rsidR="00292D3F" w:rsidRDefault="00292D3F" w:rsidP="00292D3F">
      <w:pPr>
        <w:pStyle w:val="Ruller4"/>
        <w:rPr>
          <w:rtl/>
        </w:rPr>
      </w:pPr>
      <w:r>
        <w:rPr>
          <w:rFonts w:hint="cs"/>
          <w:rtl/>
        </w:rPr>
        <w:t xml:space="preserve">ראש וראשון, אשוב ואדגיש כי חומרתה הרבה של עבירת הרצח </w:t>
      </w:r>
      <w:r w:rsidR="00F266C5">
        <w:rPr>
          <w:rFonts w:hint="cs"/>
          <w:rtl/>
        </w:rPr>
        <w:t>הבסיסית</w:t>
      </w:r>
      <w:r>
        <w:rPr>
          <w:rFonts w:hint="cs"/>
          <w:rtl/>
        </w:rPr>
        <w:t xml:space="preserve"> מציבה רף גבוה בפני רוצח המבקש כי ייגזר עליו עונש החורג לקולה ממתחם העונש </w:t>
      </w:r>
      <w:r>
        <w:rPr>
          <w:rtl/>
        </w:rPr>
        <w:t>–</w:t>
      </w:r>
      <w:r>
        <w:rPr>
          <w:rFonts w:hint="cs"/>
          <w:rtl/>
        </w:rPr>
        <w:t xml:space="preserve"> היינו עונש אשר אינו מתיישב עם חומרת מעשיו ומידת הפגיעה בערך קדושת החיים. על כן, כאמור, באופן קטגורי, בעבירת הרצח </w:t>
      </w:r>
      <w:r w:rsidR="00F266C5">
        <w:rPr>
          <w:rFonts w:hint="cs"/>
          <w:rtl/>
        </w:rPr>
        <w:t>הבסיסית</w:t>
      </w:r>
      <w:r>
        <w:rPr>
          <w:rFonts w:hint="cs"/>
          <w:rtl/>
        </w:rPr>
        <w:t xml:space="preserve"> ביסוד נפשי של כוונה נותר אך </w:t>
      </w:r>
      <w:r w:rsidRPr="00012D02">
        <w:rPr>
          <w:rFonts w:ascii="Century" w:hAnsi="Century" w:cs="Miriam" w:hint="cs"/>
          <w:b/>
          <w:spacing w:val="0"/>
          <w:sz w:val="22"/>
          <w:szCs w:val="24"/>
          <w:rtl/>
        </w:rPr>
        <w:t>פתח צר ומצומצם</w:t>
      </w:r>
      <w:r w:rsidRPr="00012D02">
        <w:rPr>
          <w:rFonts w:hint="cs"/>
          <w:rtl/>
        </w:rPr>
        <w:t xml:space="preserve"> </w:t>
      </w:r>
      <w:r>
        <w:rPr>
          <w:rFonts w:hint="cs"/>
          <w:rtl/>
        </w:rPr>
        <w:t xml:space="preserve">השמור למקרים חריגים ביותר, עבור חריגה לקולה ממתחם העונש ההולם.  </w:t>
      </w:r>
    </w:p>
    <w:p w:rsidR="00292D3F" w:rsidRDefault="00292D3F" w:rsidP="00292D3F">
      <w:pPr>
        <w:pStyle w:val="Ruller41"/>
        <w:rPr>
          <w:rtl/>
        </w:rPr>
      </w:pPr>
    </w:p>
    <w:p w:rsidR="00292D3F" w:rsidRDefault="00292D3F" w:rsidP="00292D3F">
      <w:pPr>
        <w:pStyle w:val="Ruller4"/>
        <w:rPr>
          <w:rtl/>
        </w:rPr>
      </w:pPr>
      <w:r>
        <w:rPr>
          <w:rFonts w:hint="cs"/>
          <w:rtl/>
        </w:rPr>
        <w:t xml:space="preserve">ואולם, ניכר כי המקרה שלפנינו אינו נמנה על המקרים החריגים המצדיקים חריגה לקולה. כאמור, לא די בשיקולי צדק כשלעצמם כדי להכריע את הכף לטובת חריגה ממתחם העונש ההולם; אלא כי שיקולים אלו נבחנים למול חומרת מעשה העבירה, נסיבות ביצועה ומידת מסוכנות הרוצח. </w:t>
      </w:r>
    </w:p>
    <w:p w:rsidR="00292D3F" w:rsidRDefault="00292D3F" w:rsidP="00292D3F">
      <w:pPr>
        <w:pStyle w:val="Ruller41"/>
        <w:rPr>
          <w:rtl/>
        </w:rPr>
      </w:pPr>
    </w:p>
    <w:p w:rsidR="00292D3F" w:rsidRDefault="00292D3F" w:rsidP="00276901">
      <w:pPr>
        <w:pStyle w:val="Ruller4"/>
        <w:rPr>
          <w:rtl/>
        </w:rPr>
      </w:pPr>
      <w:r>
        <w:rPr>
          <w:rFonts w:hint="cs"/>
          <w:rtl/>
        </w:rPr>
        <w:t xml:space="preserve">מצבו הבריאותי של המערער פורט בגזר דינו של בית משפט קמא, על יסוד התיעוד הרפואי שנמסר על ידי שירות בתי הסוהר ועל סמך חוות דעת רפואית שהוגשה לפניו. בתוך כך, כמובא לעיל, תואר כי המערער סובל ממספר בעיות רפואיות קשות, ובראשן </w:t>
      </w:r>
      <w:r>
        <w:rPr>
          <w:rtl/>
        </w:rPr>
        <w:t>–</w:t>
      </w:r>
      <w:r>
        <w:rPr>
          <w:rFonts w:hint="cs"/>
          <w:rtl/>
        </w:rPr>
        <w:t xml:space="preserve"> דימום מוח כרוני, שהתגלה לאחר מעצרו. אלא שחומרת העבירה במקרה שלפנינו </w:t>
      </w:r>
      <w:r>
        <w:rPr>
          <w:rtl/>
        </w:rPr>
        <w:t>–</w:t>
      </w:r>
      <w:r>
        <w:rPr>
          <w:rFonts w:hint="cs"/>
          <w:rtl/>
        </w:rPr>
        <w:t xml:space="preserve"> מדברת בפני עצמה; עניין לנו בעבירת </w:t>
      </w:r>
      <w:r w:rsidRPr="00FD36B0">
        <w:rPr>
          <w:rFonts w:ascii="Century" w:hAnsi="Century" w:cs="Miriam" w:hint="cs"/>
          <w:b/>
          <w:spacing w:val="0"/>
          <w:szCs w:val="24"/>
          <w:rtl/>
        </w:rPr>
        <w:t>הרצח בכוונה</w:t>
      </w:r>
      <w:r>
        <w:rPr>
          <w:rFonts w:hint="cs"/>
          <w:rtl/>
        </w:rPr>
        <w:t xml:space="preserve">, על כל המשתמע מכך, החל מ"אות </w:t>
      </w:r>
      <w:proofErr w:type="spellStart"/>
      <w:r>
        <w:rPr>
          <w:rFonts w:hint="cs"/>
          <w:rtl/>
        </w:rPr>
        <w:t>הקין</w:t>
      </w:r>
      <w:proofErr w:type="spellEnd"/>
      <w:r>
        <w:rPr>
          <w:rFonts w:hint="cs"/>
          <w:rtl/>
        </w:rPr>
        <w:t xml:space="preserve">" שנושא הרוצח וכלה בעונש ההולם את חומרת מעשיו בשל הפגיעה בקדושת ערך חיי האדם. נסיבות ביצוע העבירה מלמדות אף הן על חומרת מעשי המערער, כמובא לעיל בהרחבה. אמנם יש לתת משקל גם לסכסוך </w:t>
      </w:r>
      <w:proofErr w:type="spellStart"/>
      <w:r>
        <w:rPr>
          <w:rFonts w:hint="cs"/>
          <w:rtl/>
        </w:rPr>
        <w:t>שנגלע</w:t>
      </w:r>
      <w:proofErr w:type="spellEnd"/>
      <w:r>
        <w:rPr>
          <w:rFonts w:hint="cs"/>
          <w:rtl/>
        </w:rPr>
        <w:t xml:space="preserve"> בין המערער למנוח עובר לרצח ולמצוקה שייתכן והובילה את המערער לבצע את הרצח, אולם נסיבות אלו נמדדות לצד יתר נסיבות ביצוע העבירה המלמדות על חומרה רבתי במעשי המערער. כך למשל, העובדה כי המערער עשה דין לעצמו וקיפד את חיי המנוח חלף פניה לרשויות האכיפה; מעשה הרצח קר-הרוח, עת המערער הצמיד את קנה האקדח למצח המנוח, ואף הורה לו להתפלל בטרם המיתו; ולבסוף, שרירות ליבו של המערער אשר מיהר להסוות את מעשיו, תחת הזעקת כוחות הצלה למקום אשר ייתכן והיו יכולים להציל את חיי המנוח. כך גם מידת מסוכנות המערער נלמדת ממעשיו, אשר נטל לידיו את האקדח שהיה </w:t>
      </w:r>
      <w:r>
        <w:rPr>
          <w:rFonts w:hint="cs"/>
          <w:rtl/>
        </w:rPr>
        <w:lastRenderedPageBreak/>
        <w:t xml:space="preserve">ברשותו מתוקף עבודתו כמאבטח, </w:t>
      </w:r>
      <w:r w:rsidR="00276901">
        <w:rPr>
          <w:rFonts w:hint="cs"/>
          <w:rtl/>
        </w:rPr>
        <w:t xml:space="preserve">ובשל </w:t>
      </w:r>
      <w:r>
        <w:rPr>
          <w:rFonts w:hint="cs"/>
          <w:rtl/>
        </w:rPr>
        <w:t xml:space="preserve">סירובו של המנוח להתפנות מהדירה </w:t>
      </w:r>
      <w:r>
        <w:rPr>
          <w:rtl/>
        </w:rPr>
        <w:t>–</w:t>
      </w:r>
      <w:r>
        <w:rPr>
          <w:rFonts w:hint="cs"/>
          <w:rtl/>
        </w:rPr>
        <w:t xml:space="preserve"> נטל את חייו.</w:t>
      </w:r>
    </w:p>
    <w:p w:rsidR="00292D3F" w:rsidRDefault="00292D3F" w:rsidP="00292D3F">
      <w:pPr>
        <w:pStyle w:val="Ruller41"/>
        <w:rPr>
          <w:rtl/>
        </w:rPr>
      </w:pPr>
    </w:p>
    <w:p w:rsidR="00292D3F" w:rsidRDefault="00292D3F" w:rsidP="004C1ABA">
      <w:pPr>
        <w:pStyle w:val="Ruller4"/>
        <w:rPr>
          <w:rtl/>
        </w:rPr>
      </w:pPr>
      <w:r>
        <w:rPr>
          <w:rFonts w:hint="cs"/>
          <w:rtl/>
        </w:rPr>
        <w:t xml:space="preserve">יוצא אפוא, כי בשקלול חומרת עבירת הרצח בכוונה על נסיבות ביצועה ומידת מסוכנותו של המערער, לצד שיקולי הצדק ובראשם מצבו הבריאותי של המערער </w:t>
      </w:r>
      <w:r>
        <w:rPr>
          <w:rtl/>
        </w:rPr>
        <w:t>–</w:t>
      </w:r>
      <w:r>
        <w:rPr>
          <w:rFonts w:hint="cs"/>
          <w:rtl/>
        </w:rPr>
        <w:t xml:space="preserve"> אני סבור כי לא קמה הצדקה לחרוג ממתחם העונש ההולם, וכי יש להתחשב במצבו הרפואי של המערער </w:t>
      </w:r>
      <w:r w:rsidR="004C1ABA">
        <w:rPr>
          <w:rFonts w:hint="cs"/>
          <w:rtl/>
        </w:rPr>
        <w:t xml:space="preserve">בקביעת עונשו בתוך </w:t>
      </w:r>
      <w:r>
        <w:rPr>
          <w:rFonts w:hint="cs"/>
          <w:rtl/>
        </w:rPr>
        <w:t xml:space="preserve">מתחם העונש ההולם בלבד. </w:t>
      </w:r>
    </w:p>
    <w:p w:rsidR="00292D3F" w:rsidRDefault="00292D3F" w:rsidP="00292D3F">
      <w:pPr>
        <w:pStyle w:val="Ruller41"/>
        <w:rPr>
          <w:rtl/>
        </w:rPr>
      </w:pPr>
    </w:p>
    <w:p w:rsidR="00292D3F" w:rsidRDefault="00292D3F" w:rsidP="00292D3F">
      <w:pPr>
        <w:pStyle w:val="Ruller4"/>
        <w:rPr>
          <w:rtl/>
        </w:rPr>
      </w:pPr>
      <w:r>
        <w:rPr>
          <w:rFonts w:hint="cs"/>
          <w:rtl/>
        </w:rPr>
        <w:t xml:space="preserve">עוד יש להעיר, כי גם במקרים אחרים שבהם סבל הרוצח ממצב רפואי מורכב וממגבלות פיזיות ונפשיות, נסיבות אלו נלקחו בחשבון במסגרת מתחם העונש ההולם ולבסוף נגזרו עונשים חמורים באופן משמעותי מאשר </w:t>
      </w:r>
      <w:r w:rsidRPr="00435623">
        <w:rPr>
          <w:rFonts w:ascii="Century" w:hAnsi="Century" w:hint="cs"/>
          <w:sz w:val="22"/>
          <w:rtl/>
        </w:rPr>
        <w:t xml:space="preserve">בעניין שלפנינו. כך למשל בעניין </w:t>
      </w:r>
      <w:r w:rsidRPr="00435623">
        <w:rPr>
          <w:rFonts w:ascii="Century" w:hAnsi="Century" w:cs="Miriam" w:hint="cs"/>
          <w:b/>
          <w:spacing w:val="0"/>
          <w:sz w:val="22"/>
          <w:szCs w:val="24"/>
          <w:rtl/>
        </w:rPr>
        <w:t>שפק</w:t>
      </w:r>
      <w:r w:rsidRPr="00435623">
        <w:rPr>
          <w:rFonts w:ascii="Century" w:hAnsi="Century" w:hint="cs"/>
          <w:sz w:val="22"/>
          <w:rtl/>
        </w:rPr>
        <w:t>, נבחנה השפעת מצבו הרפואי על מידת עונשו. שפק</w:t>
      </w:r>
      <w:r>
        <w:rPr>
          <w:rFonts w:hint="cs"/>
          <w:rtl/>
        </w:rPr>
        <w:t xml:space="preserve">, הורשע בביצוע עבירת הרצח </w:t>
      </w:r>
      <w:r w:rsidRPr="00435623">
        <w:rPr>
          <w:rFonts w:ascii="Century" w:hAnsi="Century" w:hint="cs"/>
          <w:sz w:val="22"/>
          <w:rtl/>
        </w:rPr>
        <w:t>בכוונה, ונגזר עליו בערכאה הדיונית עונש של 29 מאסר בפועל. כשבוע בלבד לאחר מתן גזר הדין, שפק עבר אירוע מוחי קשה אשר בעקבותיו נותר משותק באופן חלקי, עם קשיים ניכרים בדיבור</w:t>
      </w:r>
      <w:r w:rsidRPr="00435623">
        <w:rPr>
          <w:rFonts w:hint="cs"/>
          <w:rtl/>
        </w:rPr>
        <w:t xml:space="preserve"> </w:t>
      </w:r>
      <w:r>
        <w:rPr>
          <w:rFonts w:hint="cs"/>
          <w:rtl/>
        </w:rPr>
        <w:t xml:space="preserve">וכשהוא נאלץ להתנייד </w:t>
      </w:r>
      <w:proofErr w:type="spellStart"/>
      <w:r>
        <w:rPr>
          <w:rFonts w:hint="cs"/>
          <w:rtl/>
        </w:rPr>
        <w:t>בכסא</w:t>
      </w:r>
      <w:proofErr w:type="spellEnd"/>
      <w:r>
        <w:rPr>
          <w:rFonts w:hint="cs"/>
          <w:rtl/>
        </w:rPr>
        <w:t xml:space="preserve"> גלגלים. באיזון שבין נסיבות אלו לבין חומרת מעשיו, מצא בית משפט זה להעמיד את עונשו על </w:t>
      </w:r>
      <w:r w:rsidRPr="00992A44">
        <w:rPr>
          <w:rFonts w:ascii="Century" w:hAnsi="Century" w:cs="Miriam" w:hint="cs"/>
          <w:b/>
          <w:spacing w:val="0"/>
          <w:szCs w:val="24"/>
          <w:rtl/>
        </w:rPr>
        <w:t>27</w:t>
      </w:r>
      <w:r w:rsidRPr="00992A44">
        <w:rPr>
          <w:rFonts w:hint="cs"/>
          <w:rtl/>
        </w:rPr>
        <w:t xml:space="preserve"> </w:t>
      </w:r>
      <w:r>
        <w:rPr>
          <w:rFonts w:hint="cs"/>
          <w:rtl/>
        </w:rPr>
        <w:t xml:space="preserve">שנות מאסר בפועל.  כך גם בעניין </w:t>
      </w:r>
      <w:r w:rsidRPr="00837907">
        <w:rPr>
          <w:rFonts w:ascii="Century" w:hAnsi="Century" w:cs="Miriam" w:hint="cs"/>
          <w:b/>
          <w:spacing w:val="0"/>
          <w:szCs w:val="24"/>
          <w:rtl/>
        </w:rPr>
        <w:t>קאדר</w:t>
      </w:r>
      <w:r>
        <w:rPr>
          <w:rFonts w:hint="cs"/>
          <w:rtl/>
        </w:rPr>
        <w:t xml:space="preserve">, </w:t>
      </w:r>
      <w:r w:rsidRPr="0074397D">
        <w:rPr>
          <w:rFonts w:ascii="Century" w:hAnsi="Century" w:hint="cs"/>
          <w:sz w:val="22"/>
          <w:rtl/>
        </w:rPr>
        <w:t>אשר הורשע בעבירת הרצח בכוונה, בית המשפט נדרש למצבו הרפואי המורכב בהיותו קטוע רגל וסובל מלקות נפשית, באופן המקשה עליו את שהותו בבית הסוהר עד כי נטען שעבורו "</w:t>
      </w:r>
      <w:r w:rsidRPr="0074397D">
        <w:rPr>
          <w:rFonts w:ascii="Century" w:hAnsi="Century" w:hint="eastAsia"/>
          <w:sz w:val="22"/>
          <w:rtl/>
        </w:rPr>
        <w:t>עונשו</w:t>
      </w:r>
      <w:r w:rsidRPr="0074397D">
        <w:rPr>
          <w:rFonts w:ascii="Century" w:hAnsi="Century"/>
          <w:sz w:val="22"/>
          <w:rtl/>
        </w:rPr>
        <w:t xml:space="preserve"> </w:t>
      </w:r>
      <w:r w:rsidRPr="0074397D">
        <w:rPr>
          <w:rFonts w:ascii="Century" w:hAnsi="Century" w:hint="cs"/>
          <w:sz w:val="22"/>
          <w:rtl/>
        </w:rPr>
        <w:t>'</w:t>
      </w:r>
      <w:r w:rsidRPr="0074397D">
        <w:rPr>
          <w:rFonts w:ascii="Century" w:hAnsi="Century" w:hint="eastAsia"/>
          <w:sz w:val="22"/>
          <w:rtl/>
        </w:rPr>
        <w:t>כפול</w:t>
      </w:r>
      <w:r w:rsidRPr="0074397D">
        <w:rPr>
          <w:rFonts w:ascii="Century" w:hAnsi="Century"/>
          <w:sz w:val="22"/>
          <w:rtl/>
        </w:rPr>
        <w:t xml:space="preserve"> </w:t>
      </w:r>
      <w:r w:rsidRPr="0074397D">
        <w:rPr>
          <w:rFonts w:ascii="Century" w:hAnsi="Century" w:hint="eastAsia"/>
          <w:sz w:val="22"/>
          <w:rtl/>
        </w:rPr>
        <w:t>ומכופל</w:t>
      </w:r>
      <w:r w:rsidRPr="0074397D">
        <w:rPr>
          <w:rFonts w:ascii="Century" w:hAnsi="Century" w:hint="cs"/>
          <w:sz w:val="22"/>
          <w:rtl/>
        </w:rPr>
        <w:t xml:space="preserve">' </w:t>
      </w:r>
      <w:r w:rsidRPr="0074397D">
        <w:rPr>
          <w:rFonts w:ascii="Century" w:hAnsi="Century" w:hint="eastAsia"/>
          <w:sz w:val="22"/>
          <w:rtl/>
        </w:rPr>
        <w:t>ביחס</w:t>
      </w:r>
      <w:r w:rsidRPr="0074397D">
        <w:rPr>
          <w:rFonts w:ascii="Century" w:hAnsi="Century"/>
          <w:sz w:val="22"/>
          <w:rtl/>
        </w:rPr>
        <w:t xml:space="preserve"> </w:t>
      </w:r>
      <w:r w:rsidRPr="0074397D">
        <w:rPr>
          <w:rFonts w:ascii="Century" w:hAnsi="Century" w:hint="eastAsia"/>
          <w:sz w:val="22"/>
          <w:rtl/>
        </w:rPr>
        <w:t>לאסיר</w:t>
      </w:r>
      <w:r w:rsidRPr="0074397D">
        <w:rPr>
          <w:rFonts w:ascii="Century" w:hAnsi="Century"/>
          <w:sz w:val="22"/>
          <w:rtl/>
        </w:rPr>
        <w:t xml:space="preserve"> </w:t>
      </w:r>
      <w:r w:rsidRPr="0074397D">
        <w:rPr>
          <w:rFonts w:ascii="Century" w:hAnsi="Century" w:hint="eastAsia"/>
          <w:sz w:val="22"/>
          <w:rtl/>
        </w:rPr>
        <w:t>בריא</w:t>
      </w:r>
      <w:r w:rsidRPr="0074397D">
        <w:rPr>
          <w:rFonts w:ascii="Century" w:hAnsi="Century" w:hint="cs"/>
          <w:sz w:val="22"/>
          <w:rtl/>
        </w:rPr>
        <w:t>"</w:t>
      </w:r>
      <w:r w:rsidRPr="0074397D">
        <w:rPr>
          <w:rFonts w:ascii="Century" w:hAnsi="Century"/>
          <w:sz w:val="22"/>
          <w:rtl/>
        </w:rPr>
        <w:t>.</w:t>
      </w:r>
      <w:r w:rsidRPr="0074397D">
        <w:rPr>
          <w:rFonts w:ascii="Century" w:hAnsi="Century" w:hint="cs"/>
          <w:sz w:val="22"/>
          <w:rtl/>
        </w:rPr>
        <w:t xml:space="preserve"> ואולם, משהורשע קאדר בעבירת רצח בכוונה, מצבו </w:t>
      </w:r>
      <w:r>
        <w:rPr>
          <w:rFonts w:hint="cs"/>
          <w:rtl/>
        </w:rPr>
        <w:t xml:space="preserve">הבריאותי נלקח בחשבון בגדרי מתחם העונש ההולם, וגם בו לא היה כדי למקם את העונש בתחתית המתחם אלא רק במרכזו ונגזרו עליו </w:t>
      </w:r>
      <w:r w:rsidRPr="00036822">
        <w:rPr>
          <w:rFonts w:ascii="Century" w:hAnsi="Century" w:hint="cs"/>
          <w:sz w:val="22"/>
          <w:rtl/>
        </w:rPr>
        <w:t>27</w:t>
      </w:r>
      <w:r w:rsidRPr="00036822">
        <w:rPr>
          <w:rFonts w:hint="cs"/>
          <w:rtl/>
        </w:rPr>
        <w:t xml:space="preserve"> </w:t>
      </w:r>
      <w:r>
        <w:rPr>
          <w:rFonts w:hint="cs"/>
          <w:rtl/>
        </w:rPr>
        <w:t>שנות מאסר בפועל.</w:t>
      </w:r>
    </w:p>
    <w:p w:rsidR="00292D3F" w:rsidRDefault="00292D3F" w:rsidP="00292D3F">
      <w:pPr>
        <w:pStyle w:val="Ruller41"/>
        <w:rPr>
          <w:rtl/>
        </w:rPr>
      </w:pPr>
    </w:p>
    <w:p w:rsidR="00292D3F" w:rsidRPr="002A5FDE" w:rsidRDefault="00292D3F" w:rsidP="000C11B7">
      <w:pPr>
        <w:pStyle w:val="Ruller4"/>
      </w:pPr>
      <w:r w:rsidRPr="002A5FDE">
        <w:rPr>
          <w:rFonts w:hint="cs"/>
          <w:rtl/>
        </w:rPr>
        <w:t xml:space="preserve">אשר על כן, מצבו הבריאותי של המערער, אשר דורש בוודאי פיקוח וטיפול רפואי, עשוי להוות שיקול </w:t>
      </w:r>
      <w:r w:rsidR="000C11B7">
        <w:rPr>
          <w:rFonts w:hint="cs"/>
          <w:rtl/>
        </w:rPr>
        <w:t>בתוך</w:t>
      </w:r>
      <w:r w:rsidRPr="002A5FDE">
        <w:rPr>
          <w:rFonts w:hint="cs"/>
          <w:rtl/>
        </w:rPr>
        <w:t xml:space="preserve"> מתחם העונש ההולם, אך לא די בו</w:t>
      </w:r>
      <w:r>
        <w:rPr>
          <w:rFonts w:hint="cs"/>
          <w:rtl/>
        </w:rPr>
        <w:t xml:space="preserve"> </w:t>
      </w:r>
      <w:r w:rsidRPr="002A5FDE">
        <w:rPr>
          <w:rFonts w:hint="cs"/>
          <w:rtl/>
        </w:rPr>
        <w:t>כדי להצדיק חריגה לקולה ממתחם העונש ההולם, לא כל שכן עד כדי הקלה כה משמעותית בעונשו</w:t>
      </w:r>
      <w:r w:rsidR="009A7220">
        <w:rPr>
          <w:rFonts w:hint="cs"/>
          <w:rtl/>
        </w:rPr>
        <w:t>.</w:t>
      </w:r>
      <w:r w:rsidRPr="002A5FDE">
        <w:rPr>
          <w:rFonts w:hint="cs"/>
          <w:rtl/>
        </w:rPr>
        <w:t xml:space="preserve"> </w:t>
      </w:r>
    </w:p>
    <w:p w:rsidR="00292D3F" w:rsidRPr="00C10943" w:rsidRDefault="00292D3F" w:rsidP="00292D3F">
      <w:pPr>
        <w:pStyle w:val="Ruller4"/>
        <w:numPr>
          <w:ilvl w:val="0"/>
          <w:numId w:val="0"/>
        </w:numPr>
        <w:rPr>
          <w:rtl/>
        </w:rPr>
      </w:pPr>
    </w:p>
    <w:p w:rsidR="00292D3F" w:rsidRDefault="00292D3F" w:rsidP="00292D3F">
      <w:pPr>
        <w:pStyle w:val="Ruller4"/>
        <w:numPr>
          <w:ilvl w:val="0"/>
          <w:numId w:val="0"/>
        </w:numPr>
      </w:pPr>
      <w:r w:rsidRPr="00222987">
        <w:rPr>
          <w:rFonts w:ascii="Century" w:hAnsi="Century" w:cs="Miriam" w:hint="cs"/>
          <w:b/>
          <w:spacing w:val="0"/>
          <w:sz w:val="22"/>
          <w:szCs w:val="24"/>
          <w:rtl/>
        </w:rPr>
        <w:t>סוף דבר</w:t>
      </w:r>
    </w:p>
    <w:p w:rsidR="00292D3F" w:rsidRDefault="00292D3F" w:rsidP="00292D3F">
      <w:pPr>
        <w:pStyle w:val="Ruller4"/>
        <w:numPr>
          <w:ilvl w:val="0"/>
          <w:numId w:val="0"/>
        </w:numPr>
        <w:rPr>
          <w:rtl/>
        </w:rPr>
      </w:pPr>
    </w:p>
    <w:p w:rsidR="00292D3F" w:rsidRDefault="00292D3F" w:rsidP="00292D3F">
      <w:pPr>
        <w:pStyle w:val="Ruller4"/>
      </w:pPr>
      <w:r>
        <w:rPr>
          <w:rFonts w:hint="cs"/>
          <w:rtl/>
        </w:rPr>
        <w:t xml:space="preserve">בהינתן האמור, לנוכח חומרת מעשיו של המערער, בהתחשב במצבו הרפואי המורכב, ובשים לב לכלל שלפיו ערכאת הערעור אינה ממצה את מלוא חומרת הדין, </w:t>
      </w:r>
      <w:r>
        <w:rPr>
          <w:rFonts w:hint="eastAsia"/>
          <w:rtl/>
        </w:rPr>
        <w:t>אציע</w:t>
      </w:r>
      <w:r>
        <w:rPr>
          <w:rtl/>
        </w:rPr>
        <w:t xml:space="preserve"> </w:t>
      </w:r>
      <w:r>
        <w:rPr>
          <w:rFonts w:hint="eastAsia"/>
          <w:rtl/>
        </w:rPr>
        <w:t>לחברי</w:t>
      </w:r>
      <w:r>
        <w:rPr>
          <w:rtl/>
        </w:rPr>
        <w:t xml:space="preserve"> </w:t>
      </w:r>
      <w:r>
        <w:rPr>
          <w:rFonts w:hint="eastAsia"/>
          <w:rtl/>
        </w:rPr>
        <w:t>ולחברתי</w:t>
      </w:r>
      <w:r>
        <w:rPr>
          <w:rtl/>
        </w:rPr>
        <w:t xml:space="preserve"> </w:t>
      </w:r>
      <w:r>
        <w:rPr>
          <w:rFonts w:hint="eastAsia"/>
          <w:rtl/>
        </w:rPr>
        <w:t>כי</w:t>
      </w:r>
      <w:r>
        <w:rPr>
          <w:rtl/>
        </w:rPr>
        <w:t xml:space="preserve"> </w:t>
      </w:r>
      <w:r>
        <w:rPr>
          <w:rFonts w:hint="eastAsia"/>
          <w:rtl/>
        </w:rPr>
        <w:t>נדחה</w:t>
      </w:r>
      <w:r>
        <w:rPr>
          <w:rtl/>
        </w:rPr>
        <w:t xml:space="preserve"> </w:t>
      </w:r>
      <w:r>
        <w:rPr>
          <w:rFonts w:hint="eastAsia"/>
          <w:rtl/>
        </w:rPr>
        <w:t>את</w:t>
      </w:r>
      <w:r>
        <w:rPr>
          <w:rtl/>
        </w:rPr>
        <w:t xml:space="preserve"> </w:t>
      </w:r>
      <w:r>
        <w:rPr>
          <w:rFonts w:hint="eastAsia"/>
          <w:rtl/>
        </w:rPr>
        <w:t>ערעור</w:t>
      </w:r>
      <w:r>
        <w:rPr>
          <w:rtl/>
        </w:rPr>
        <w:t xml:space="preserve"> </w:t>
      </w:r>
      <w:r>
        <w:rPr>
          <w:rFonts w:hint="eastAsia"/>
          <w:rtl/>
        </w:rPr>
        <w:t>המערער</w:t>
      </w:r>
      <w:r>
        <w:rPr>
          <w:rtl/>
        </w:rPr>
        <w:t xml:space="preserve"> </w:t>
      </w:r>
      <w:r>
        <w:rPr>
          <w:rFonts w:hint="eastAsia"/>
          <w:rtl/>
        </w:rPr>
        <w:t>ונקבל</w:t>
      </w:r>
      <w:r>
        <w:rPr>
          <w:rtl/>
        </w:rPr>
        <w:t xml:space="preserve"> </w:t>
      </w:r>
      <w:r>
        <w:rPr>
          <w:rFonts w:hint="eastAsia"/>
          <w:rtl/>
        </w:rPr>
        <w:t>את</w:t>
      </w:r>
      <w:r>
        <w:rPr>
          <w:rtl/>
        </w:rPr>
        <w:t xml:space="preserve"> </w:t>
      </w:r>
      <w:r>
        <w:rPr>
          <w:rFonts w:hint="eastAsia"/>
          <w:rtl/>
        </w:rPr>
        <w:t>ערעור</w:t>
      </w:r>
      <w:r>
        <w:rPr>
          <w:rtl/>
        </w:rPr>
        <w:t xml:space="preserve"> </w:t>
      </w:r>
      <w:r>
        <w:rPr>
          <w:rFonts w:hint="eastAsia"/>
          <w:rtl/>
        </w:rPr>
        <w:t>המדינה</w:t>
      </w:r>
      <w:r>
        <w:rPr>
          <w:rtl/>
        </w:rPr>
        <w:t xml:space="preserve"> </w:t>
      </w:r>
      <w:r>
        <w:rPr>
          <w:rFonts w:hint="eastAsia"/>
          <w:rtl/>
        </w:rPr>
        <w:t>כך</w:t>
      </w:r>
      <w:r>
        <w:rPr>
          <w:rtl/>
        </w:rPr>
        <w:t xml:space="preserve"> </w:t>
      </w:r>
      <w:r>
        <w:rPr>
          <w:rFonts w:hint="eastAsia"/>
          <w:rtl/>
        </w:rPr>
        <w:t>שחלף</w:t>
      </w:r>
      <w:r>
        <w:rPr>
          <w:rtl/>
        </w:rPr>
        <w:t xml:space="preserve"> 18 </w:t>
      </w:r>
      <w:r>
        <w:rPr>
          <w:rFonts w:hint="eastAsia"/>
          <w:rtl/>
        </w:rPr>
        <w:t>שנות</w:t>
      </w:r>
      <w:r>
        <w:rPr>
          <w:rtl/>
        </w:rPr>
        <w:t xml:space="preserve"> </w:t>
      </w:r>
      <w:r>
        <w:rPr>
          <w:rFonts w:hint="eastAsia"/>
          <w:rtl/>
        </w:rPr>
        <w:t>מאסר</w:t>
      </w:r>
      <w:r>
        <w:rPr>
          <w:rtl/>
        </w:rPr>
        <w:t xml:space="preserve"> </w:t>
      </w:r>
      <w:r>
        <w:rPr>
          <w:rFonts w:hint="eastAsia"/>
          <w:rtl/>
        </w:rPr>
        <w:t>בפועל</w:t>
      </w:r>
      <w:r>
        <w:rPr>
          <w:rtl/>
        </w:rPr>
        <w:t xml:space="preserve">, </w:t>
      </w:r>
      <w:r>
        <w:rPr>
          <w:rFonts w:hint="eastAsia"/>
          <w:rtl/>
        </w:rPr>
        <w:t>יושת</w:t>
      </w:r>
      <w:r>
        <w:rPr>
          <w:rtl/>
        </w:rPr>
        <w:t xml:space="preserve"> </w:t>
      </w:r>
      <w:r w:rsidR="00CA6ED5">
        <w:rPr>
          <w:rFonts w:hint="eastAsia"/>
          <w:rtl/>
        </w:rPr>
        <w:t>על</w:t>
      </w:r>
      <w:r w:rsidR="00CA6ED5">
        <w:rPr>
          <w:rFonts w:hint="cs"/>
          <w:rtl/>
        </w:rPr>
        <w:t xml:space="preserve"> המערער</w:t>
      </w:r>
      <w:r>
        <w:rPr>
          <w:rtl/>
        </w:rPr>
        <w:t xml:space="preserve"> </w:t>
      </w:r>
      <w:r>
        <w:rPr>
          <w:rFonts w:hint="eastAsia"/>
          <w:rtl/>
        </w:rPr>
        <w:t>עונש</w:t>
      </w:r>
      <w:r>
        <w:rPr>
          <w:rtl/>
        </w:rPr>
        <w:t xml:space="preserve"> </w:t>
      </w:r>
      <w:r>
        <w:rPr>
          <w:rFonts w:hint="eastAsia"/>
          <w:rtl/>
        </w:rPr>
        <w:t>של</w:t>
      </w:r>
      <w:r>
        <w:rPr>
          <w:rtl/>
        </w:rPr>
        <w:t xml:space="preserve"> 22 </w:t>
      </w:r>
      <w:r>
        <w:rPr>
          <w:rFonts w:hint="eastAsia"/>
          <w:rtl/>
        </w:rPr>
        <w:t>שנות</w:t>
      </w:r>
      <w:r>
        <w:rPr>
          <w:rtl/>
        </w:rPr>
        <w:t xml:space="preserve"> </w:t>
      </w:r>
      <w:r>
        <w:rPr>
          <w:rFonts w:hint="eastAsia"/>
          <w:rtl/>
        </w:rPr>
        <w:t>מאסר</w:t>
      </w:r>
      <w:r>
        <w:rPr>
          <w:rtl/>
        </w:rPr>
        <w:t xml:space="preserve"> </w:t>
      </w:r>
      <w:r>
        <w:rPr>
          <w:rFonts w:hint="eastAsia"/>
          <w:rtl/>
        </w:rPr>
        <w:t>בפועל</w:t>
      </w:r>
      <w:r>
        <w:rPr>
          <w:rtl/>
        </w:rPr>
        <w:t xml:space="preserve"> </w:t>
      </w:r>
      <w:r>
        <w:rPr>
          <w:rFonts w:hint="eastAsia"/>
          <w:rtl/>
        </w:rPr>
        <w:t>מאחורי</w:t>
      </w:r>
      <w:r>
        <w:rPr>
          <w:rtl/>
        </w:rPr>
        <w:t xml:space="preserve"> </w:t>
      </w:r>
      <w:r>
        <w:rPr>
          <w:rFonts w:hint="eastAsia"/>
          <w:rtl/>
        </w:rPr>
        <w:t>סורג</w:t>
      </w:r>
      <w:r>
        <w:rPr>
          <w:rtl/>
        </w:rPr>
        <w:t xml:space="preserve"> </w:t>
      </w:r>
      <w:r>
        <w:rPr>
          <w:rFonts w:hint="eastAsia"/>
          <w:rtl/>
        </w:rPr>
        <w:t>ובריח</w:t>
      </w:r>
      <w:r>
        <w:rPr>
          <w:rFonts w:hint="cs"/>
          <w:rtl/>
        </w:rPr>
        <w:t xml:space="preserve">. </w:t>
      </w:r>
    </w:p>
    <w:p w:rsidR="00292D3F" w:rsidRDefault="00292D3F" w:rsidP="00292D3F">
      <w:pPr>
        <w:pStyle w:val="Ruller4"/>
        <w:numPr>
          <w:ilvl w:val="0"/>
          <w:numId w:val="0"/>
        </w:numPr>
        <w:rPr>
          <w:rtl/>
        </w:rPr>
      </w:pPr>
    </w:p>
    <w:p w:rsidR="00292D3F" w:rsidRDefault="00292D3F" w:rsidP="00292D3F">
      <w:pPr>
        <w:pStyle w:val="Ruller4"/>
        <w:numPr>
          <w:ilvl w:val="0"/>
          <w:numId w:val="0"/>
        </w:numPr>
      </w:pPr>
      <w:r>
        <w:rPr>
          <w:rtl/>
        </w:rPr>
        <w:tab/>
      </w:r>
      <w:r>
        <w:rPr>
          <w:rFonts w:hint="cs"/>
          <w:rtl/>
        </w:rPr>
        <w:t xml:space="preserve">כפי שניתן להתרשם בהשוואה למקרים אחרים שבהם מדובר בעבירת הרצח הבסיסית ביסוד נפשי של כוונה </w:t>
      </w:r>
      <w:r>
        <w:rPr>
          <w:rtl/>
        </w:rPr>
        <w:t>–</w:t>
      </w:r>
      <w:r>
        <w:rPr>
          <w:rFonts w:hint="cs"/>
          <w:rtl/>
        </w:rPr>
        <w:t xml:space="preserve"> מדובר בעונש מקל, הנותן משקל משמעותי לנסיבות המקרה ובעיקר למצבו הרפואי של המערער. </w:t>
      </w:r>
    </w:p>
    <w:p w:rsidR="00292D3F" w:rsidRDefault="00292D3F" w:rsidP="00292D3F">
      <w:pPr>
        <w:pStyle w:val="Ruller4"/>
        <w:numPr>
          <w:ilvl w:val="0"/>
          <w:numId w:val="0"/>
        </w:numPr>
        <w:rPr>
          <w:rtl/>
        </w:rPr>
      </w:pPr>
    </w:p>
    <w:p w:rsidR="00292D3F" w:rsidRDefault="00292D3F" w:rsidP="00292D3F">
      <w:pPr>
        <w:pStyle w:val="Ruller4"/>
        <w:numPr>
          <w:ilvl w:val="0"/>
          <w:numId w:val="0"/>
        </w:numPr>
        <w:rPr>
          <w:highlight w:val="yellow"/>
          <w:rtl/>
        </w:rPr>
      </w:pPr>
      <w:r>
        <w:rPr>
          <w:rtl/>
        </w:rPr>
        <w:tab/>
      </w:r>
      <w:r>
        <w:rPr>
          <w:rFonts w:hint="cs"/>
          <w:rtl/>
        </w:rPr>
        <w:t xml:space="preserve">עוד אציע כי </w:t>
      </w:r>
      <w:r w:rsidRPr="00660632">
        <w:rPr>
          <w:rFonts w:hint="cs"/>
          <w:rtl/>
        </w:rPr>
        <w:t xml:space="preserve">יתר רכיבי גזר הדין יוותרו על כנם, ובכלל זאת איני מוצא להתערב בפיצויים שהושתו על המערער לטובת בני משפחת המנוח, </w:t>
      </w:r>
      <w:r>
        <w:rPr>
          <w:rFonts w:hint="cs"/>
          <w:rtl/>
        </w:rPr>
        <w:t>משאלו אינם חורגים משיעור הפיצוי הראוי, בייחוד לנוכח הנזק שהסב לבני משפחת המנוח (</w:t>
      </w:r>
      <w:r w:rsidRPr="00660632">
        <w:rPr>
          <w:rtl/>
        </w:rPr>
        <w:t>ע"פ 21</w:t>
      </w:r>
      <w:r>
        <w:rPr>
          <w:rtl/>
        </w:rPr>
        <w:t xml:space="preserve">89/23 </w:t>
      </w:r>
      <w:r w:rsidRPr="00660632">
        <w:rPr>
          <w:rFonts w:ascii="Century" w:hAnsi="Century" w:cs="Miriam"/>
          <w:b/>
          <w:spacing w:val="0"/>
          <w:sz w:val="22"/>
          <w:szCs w:val="24"/>
          <w:rtl/>
        </w:rPr>
        <w:t>אהרוני נ' מדינת ישראל</w:t>
      </w:r>
      <w:r>
        <w:rPr>
          <w:rFonts w:hint="cs"/>
          <w:rtl/>
        </w:rPr>
        <w:t xml:space="preserve">, פסקה 38 </w:t>
      </w:r>
      <w:r w:rsidRPr="00660632">
        <w:rPr>
          <w:rtl/>
        </w:rPr>
        <w:t>(20.2.2024</w:t>
      </w:r>
      <w:r>
        <w:rPr>
          <w:rFonts w:hint="cs"/>
          <w:rtl/>
        </w:rPr>
        <w:t>)).</w:t>
      </w:r>
    </w:p>
    <w:p w:rsidR="00460C86" w:rsidRDefault="00460C86" w:rsidP="00460C86">
      <w:pPr>
        <w:pStyle w:val="Ruller41"/>
        <w:rPr>
          <w:highlight w:val="yellow"/>
          <w:rtl/>
        </w:rPr>
      </w:pPr>
    </w:p>
    <w:p w:rsidR="00460C86" w:rsidRDefault="00460C86" w:rsidP="00460C86">
      <w:pPr>
        <w:pStyle w:val="Ruller41"/>
        <w:rPr>
          <w:highlight w:val="yellow"/>
          <w:rtl/>
        </w:rPr>
      </w:pPr>
    </w:p>
    <w:tbl>
      <w:tblPr>
        <w:bidiVisual/>
        <w:tblW w:w="0" w:type="auto"/>
        <w:tblLook w:val="01E0" w:firstRow="1" w:lastRow="1" w:firstColumn="1" w:lastColumn="1" w:noHBand="0" w:noVBand="0"/>
      </w:tblPr>
      <w:tblGrid>
        <w:gridCol w:w="2769"/>
        <w:gridCol w:w="2769"/>
        <w:gridCol w:w="2774"/>
      </w:tblGrid>
      <w:tr w:rsidR="00460C86" w:rsidRPr="00460C86">
        <w:tc>
          <w:tcPr>
            <w:tcW w:w="2842" w:type="dxa"/>
            <w:shd w:val="clear" w:color="auto" w:fill="auto"/>
          </w:tcPr>
          <w:p w:rsidR="00460C86" w:rsidRPr="00460C86" w:rsidRDefault="00460C86">
            <w:pPr>
              <w:pStyle w:val="Ruller41"/>
              <w:tabs>
                <w:tab w:val="clear" w:pos="800"/>
                <w:tab w:val="left" w:pos="3209"/>
                <w:tab w:val="left" w:pos="6753"/>
              </w:tabs>
              <w:jc w:val="left"/>
              <w:rPr>
                <w:rFonts w:ascii="Times New Roman" w:hAnsi="Times New Roman"/>
                <w:b/>
                <w:rtl/>
              </w:rPr>
            </w:pPr>
          </w:p>
        </w:tc>
        <w:tc>
          <w:tcPr>
            <w:tcW w:w="2843" w:type="dxa"/>
            <w:shd w:val="clear" w:color="auto" w:fill="auto"/>
          </w:tcPr>
          <w:p w:rsidR="00460C86" w:rsidRPr="00460C86" w:rsidRDefault="00460C86">
            <w:pPr>
              <w:pStyle w:val="Ruller41"/>
              <w:tabs>
                <w:tab w:val="clear" w:pos="800"/>
                <w:tab w:val="left" w:pos="3209"/>
                <w:tab w:val="left" w:pos="6753"/>
              </w:tabs>
              <w:jc w:val="center"/>
              <w:rPr>
                <w:rFonts w:ascii="Times New Roman" w:hAnsi="Times New Roman"/>
                <w:b/>
                <w:rtl/>
              </w:rPr>
            </w:pPr>
          </w:p>
        </w:tc>
        <w:tc>
          <w:tcPr>
            <w:tcW w:w="2843" w:type="dxa"/>
            <w:shd w:val="clear" w:color="auto" w:fill="auto"/>
          </w:tcPr>
          <w:p w:rsidR="00460C86" w:rsidRPr="00460C86" w:rsidRDefault="00460C86">
            <w:pPr>
              <w:pStyle w:val="Ruller41"/>
              <w:tabs>
                <w:tab w:val="clear" w:pos="800"/>
                <w:tab w:val="left" w:pos="3209"/>
                <w:tab w:val="left" w:pos="6753"/>
              </w:tabs>
              <w:jc w:val="right"/>
              <w:rPr>
                <w:rFonts w:ascii="Times New Roman" w:hAnsi="Times New Roman"/>
                <w:b/>
                <w:rtl/>
              </w:rPr>
            </w:pPr>
            <w:r w:rsidRPr="00460C86">
              <w:rPr>
                <w:rFonts w:ascii="Times New Roman" w:hAnsi="Times New Roman" w:hint="cs"/>
                <w:b/>
                <w:rtl/>
              </w:rPr>
              <w:t>ש ו פ ט</w:t>
            </w:r>
            <w:r>
              <w:rPr>
                <w:rFonts w:ascii="Times New Roman" w:hAnsi="Times New Roman" w:hint="cs"/>
                <w:b/>
                <w:rtl/>
              </w:rPr>
              <w:t xml:space="preserve">  </w:t>
            </w:r>
          </w:p>
        </w:tc>
      </w:tr>
    </w:tbl>
    <w:p w:rsidR="00460C86" w:rsidRDefault="00460C86" w:rsidP="00460C86">
      <w:pPr>
        <w:pStyle w:val="Ruller41"/>
        <w:rPr>
          <w:b/>
          <w:highlight w:val="yellow"/>
          <w:rtl/>
        </w:rPr>
      </w:pPr>
    </w:p>
    <w:p w:rsidR="00460C86" w:rsidRDefault="00460C86" w:rsidP="00460C86">
      <w:pPr>
        <w:pStyle w:val="Ruller41"/>
        <w:rPr>
          <w:rFonts w:ascii="Century" w:hAnsi="Century" w:cs="Miriam"/>
          <w:b/>
          <w:spacing w:val="0"/>
          <w:szCs w:val="24"/>
          <w:u w:val="single"/>
          <w:rtl/>
        </w:rPr>
      </w:pPr>
      <w:r w:rsidRPr="00460C86">
        <w:rPr>
          <w:rFonts w:ascii="Century" w:hAnsi="Century" w:cs="Miriam" w:hint="cs"/>
          <w:b/>
          <w:spacing w:val="0"/>
          <w:szCs w:val="24"/>
          <w:u w:val="single"/>
          <w:rtl/>
        </w:rPr>
        <w:t>השופט א' שטיין</w:t>
      </w:r>
      <w:r>
        <w:rPr>
          <w:rFonts w:ascii="Century" w:hAnsi="Century" w:cs="Miriam" w:hint="cs"/>
          <w:b/>
          <w:spacing w:val="0"/>
          <w:szCs w:val="24"/>
          <w:u w:val="single"/>
          <w:rtl/>
        </w:rPr>
        <w:t>:</w:t>
      </w:r>
    </w:p>
    <w:p w:rsidR="00460C86" w:rsidRDefault="00460C86" w:rsidP="00460C86">
      <w:pPr>
        <w:pStyle w:val="Ruller41"/>
        <w:rPr>
          <w:rFonts w:ascii="Century" w:hAnsi="Century" w:cs="Miriam"/>
          <w:b/>
          <w:spacing w:val="0"/>
          <w:szCs w:val="24"/>
          <w:u w:val="single"/>
          <w:rtl/>
        </w:rPr>
      </w:pPr>
    </w:p>
    <w:p w:rsidR="00460C86" w:rsidRPr="00460C86" w:rsidRDefault="00460C86" w:rsidP="00460C86">
      <w:pPr>
        <w:pStyle w:val="Ruller41"/>
        <w:rPr>
          <w:rtl/>
        </w:rPr>
      </w:pPr>
      <w:r>
        <w:rPr>
          <w:rtl/>
        </w:rPr>
        <w:tab/>
      </w:r>
      <w:r>
        <w:rPr>
          <w:rFonts w:hint="cs"/>
          <w:rtl/>
        </w:rPr>
        <w:t>אני מסכים.</w:t>
      </w:r>
    </w:p>
    <w:p w:rsidR="00460C86" w:rsidRPr="00460C86" w:rsidRDefault="00460C86" w:rsidP="00460C86">
      <w:pPr>
        <w:pStyle w:val="Ruller41"/>
        <w:rPr>
          <w:b/>
          <w:highlight w:val="yellow"/>
          <w:rtl/>
        </w:rPr>
      </w:pPr>
    </w:p>
    <w:tbl>
      <w:tblPr>
        <w:bidiVisual/>
        <w:tblW w:w="0" w:type="auto"/>
        <w:tblLook w:val="01E0" w:firstRow="1" w:lastRow="1" w:firstColumn="1" w:lastColumn="1" w:noHBand="0" w:noVBand="0"/>
      </w:tblPr>
      <w:tblGrid>
        <w:gridCol w:w="2769"/>
        <w:gridCol w:w="2769"/>
        <w:gridCol w:w="2774"/>
      </w:tblGrid>
      <w:tr w:rsidR="00460C86" w:rsidRPr="00460C86">
        <w:tc>
          <w:tcPr>
            <w:tcW w:w="2842" w:type="dxa"/>
            <w:shd w:val="clear" w:color="auto" w:fill="auto"/>
          </w:tcPr>
          <w:p w:rsidR="00460C86" w:rsidRPr="00460C86" w:rsidRDefault="00460C86">
            <w:pPr>
              <w:pStyle w:val="Ruller41"/>
              <w:tabs>
                <w:tab w:val="clear" w:pos="800"/>
                <w:tab w:val="left" w:pos="3209"/>
                <w:tab w:val="left" w:pos="6753"/>
              </w:tabs>
              <w:jc w:val="left"/>
              <w:rPr>
                <w:rFonts w:ascii="Times New Roman" w:hAnsi="Times New Roman"/>
                <w:b/>
                <w:rtl/>
              </w:rPr>
            </w:pPr>
          </w:p>
        </w:tc>
        <w:tc>
          <w:tcPr>
            <w:tcW w:w="2843" w:type="dxa"/>
            <w:shd w:val="clear" w:color="auto" w:fill="auto"/>
          </w:tcPr>
          <w:p w:rsidR="00460C86" w:rsidRPr="00460C86" w:rsidRDefault="00460C86">
            <w:pPr>
              <w:pStyle w:val="Ruller41"/>
              <w:tabs>
                <w:tab w:val="clear" w:pos="800"/>
                <w:tab w:val="left" w:pos="3209"/>
                <w:tab w:val="left" w:pos="6753"/>
              </w:tabs>
              <w:jc w:val="center"/>
              <w:rPr>
                <w:rFonts w:ascii="Times New Roman" w:hAnsi="Times New Roman"/>
                <w:b/>
                <w:rtl/>
              </w:rPr>
            </w:pPr>
          </w:p>
        </w:tc>
        <w:tc>
          <w:tcPr>
            <w:tcW w:w="2843" w:type="dxa"/>
            <w:shd w:val="clear" w:color="auto" w:fill="auto"/>
          </w:tcPr>
          <w:p w:rsidR="00460C86" w:rsidRPr="00460C86" w:rsidRDefault="00460C86">
            <w:pPr>
              <w:pStyle w:val="Ruller41"/>
              <w:tabs>
                <w:tab w:val="clear" w:pos="800"/>
                <w:tab w:val="left" w:pos="3209"/>
                <w:tab w:val="left" w:pos="6753"/>
              </w:tabs>
              <w:jc w:val="right"/>
              <w:rPr>
                <w:rFonts w:ascii="Times New Roman" w:hAnsi="Times New Roman"/>
                <w:b/>
                <w:rtl/>
              </w:rPr>
            </w:pPr>
            <w:r w:rsidRPr="00460C86">
              <w:rPr>
                <w:rFonts w:ascii="Times New Roman" w:hAnsi="Times New Roman" w:hint="cs"/>
                <w:b/>
                <w:rtl/>
              </w:rPr>
              <w:t>ש ו פ ט</w:t>
            </w:r>
          </w:p>
        </w:tc>
      </w:tr>
    </w:tbl>
    <w:p w:rsidR="00292D3F" w:rsidRDefault="00292D3F" w:rsidP="00292D3F">
      <w:pPr>
        <w:pStyle w:val="Ruller41"/>
        <w:rPr>
          <w:b/>
          <w:highlight w:val="yellow"/>
          <w:rtl/>
        </w:rPr>
      </w:pPr>
    </w:p>
    <w:p w:rsidR="00460C86" w:rsidRDefault="00460C86" w:rsidP="00292D3F">
      <w:pPr>
        <w:pStyle w:val="Ruller41"/>
        <w:rPr>
          <w:rFonts w:ascii="Century" w:hAnsi="Century" w:cs="Miriam"/>
          <w:b/>
          <w:spacing w:val="0"/>
          <w:szCs w:val="24"/>
          <w:u w:val="single"/>
          <w:rtl/>
        </w:rPr>
      </w:pPr>
      <w:r w:rsidRPr="00460C86">
        <w:rPr>
          <w:rFonts w:ascii="Century" w:hAnsi="Century" w:cs="Miriam" w:hint="cs"/>
          <w:b/>
          <w:spacing w:val="0"/>
          <w:szCs w:val="24"/>
          <w:u w:val="single"/>
          <w:rtl/>
        </w:rPr>
        <w:t>השופטת ג' כנפי-שטייניץ:</w:t>
      </w:r>
    </w:p>
    <w:p w:rsidR="00460C86" w:rsidRDefault="00460C86" w:rsidP="00292D3F">
      <w:pPr>
        <w:pStyle w:val="Ruller41"/>
        <w:rPr>
          <w:rFonts w:ascii="Century" w:hAnsi="Century" w:cs="Miriam"/>
          <w:b/>
          <w:spacing w:val="0"/>
          <w:szCs w:val="24"/>
          <w:u w:val="single"/>
          <w:rtl/>
        </w:rPr>
      </w:pPr>
    </w:p>
    <w:p w:rsidR="00460C86" w:rsidRPr="00460C86" w:rsidRDefault="00460C86" w:rsidP="00460C86">
      <w:pPr>
        <w:pStyle w:val="Ruller41"/>
        <w:rPr>
          <w:rtl/>
        </w:rPr>
      </w:pPr>
      <w:r>
        <w:rPr>
          <w:rtl/>
        </w:rPr>
        <w:tab/>
      </w:r>
      <w:r>
        <w:rPr>
          <w:rFonts w:hint="cs"/>
          <w:rtl/>
        </w:rPr>
        <w:t>אני מסכימה.</w:t>
      </w:r>
    </w:p>
    <w:p w:rsidR="00460C86" w:rsidRPr="00460C86" w:rsidRDefault="00460C86" w:rsidP="00292D3F">
      <w:pPr>
        <w:pStyle w:val="Ruller41"/>
        <w:rPr>
          <w:b/>
          <w:highlight w:val="yellow"/>
          <w:u w:val="single"/>
          <w:rtl/>
        </w:rPr>
      </w:pPr>
    </w:p>
    <w:tbl>
      <w:tblPr>
        <w:bidiVisual/>
        <w:tblW w:w="0" w:type="auto"/>
        <w:tblLook w:val="01E0" w:firstRow="1" w:lastRow="1" w:firstColumn="1" w:lastColumn="1" w:noHBand="0" w:noVBand="0"/>
      </w:tblPr>
      <w:tblGrid>
        <w:gridCol w:w="2769"/>
        <w:gridCol w:w="2769"/>
        <w:gridCol w:w="2774"/>
      </w:tblGrid>
      <w:tr w:rsidR="00460C86" w:rsidRPr="00460C86">
        <w:tc>
          <w:tcPr>
            <w:tcW w:w="2842" w:type="dxa"/>
            <w:shd w:val="clear" w:color="auto" w:fill="auto"/>
          </w:tcPr>
          <w:p w:rsidR="00460C86" w:rsidRPr="00460C86" w:rsidRDefault="00460C86">
            <w:pPr>
              <w:pStyle w:val="Ruller41"/>
              <w:tabs>
                <w:tab w:val="clear" w:pos="800"/>
                <w:tab w:val="left" w:pos="3209"/>
                <w:tab w:val="left" w:pos="6753"/>
              </w:tabs>
              <w:jc w:val="left"/>
              <w:rPr>
                <w:rFonts w:ascii="Times New Roman" w:hAnsi="Times New Roman"/>
                <w:b/>
                <w:rtl/>
              </w:rPr>
            </w:pPr>
          </w:p>
        </w:tc>
        <w:tc>
          <w:tcPr>
            <w:tcW w:w="2843" w:type="dxa"/>
            <w:shd w:val="clear" w:color="auto" w:fill="auto"/>
          </w:tcPr>
          <w:p w:rsidR="00460C86" w:rsidRPr="00460C86" w:rsidRDefault="00460C86">
            <w:pPr>
              <w:pStyle w:val="Ruller41"/>
              <w:tabs>
                <w:tab w:val="clear" w:pos="800"/>
                <w:tab w:val="left" w:pos="3209"/>
                <w:tab w:val="left" w:pos="6753"/>
              </w:tabs>
              <w:jc w:val="center"/>
              <w:rPr>
                <w:rFonts w:ascii="Times New Roman" w:hAnsi="Times New Roman"/>
                <w:b/>
                <w:rtl/>
              </w:rPr>
            </w:pPr>
          </w:p>
        </w:tc>
        <w:tc>
          <w:tcPr>
            <w:tcW w:w="2843" w:type="dxa"/>
            <w:shd w:val="clear" w:color="auto" w:fill="auto"/>
          </w:tcPr>
          <w:p w:rsidR="00460C86" w:rsidRPr="00460C86" w:rsidRDefault="00460C86">
            <w:pPr>
              <w:pStyle w:val="Ruller41"/>
              <w:tabs>
                <w:tab w:val="clear" w:pos="800"/>
                <w:tab w:val="left" w:pos="3209"/>
                <w:tab w:val="left" w:pos="6753"/>
              </w:tabs>
              <w:jc w:val="right"/>
              <w:rPr>
                <w:rFonts w:ascii="Times New Roman" w:hAnsi="Times New Roman"/>
                <w:b/>
                <w:rtl/>
              </w:rPr>
            </w:pPr>
            <w:r w:rsidRPr="00460C86">
              <w:rPr>
                <w:rFonts w:ascii="Times New Roman" w:hAnsi="Times New Roman" w:hint="cs"/>
                <w:b/>
                <w:rtl/>
              </w:rPr>
              <w:t>ש ו פ ט</w:t>
            </w:r>
            <w:r>
              <w:rPr>
                <w:rFonts w:ascii="Times New Roman" w:hAnsi="Times New Roman" w:hint="cs"/>
                <w:b/>
                <w:rtl/>
              </w:rPr>
              <w:t xml:space="preserve"> ת</w:t>
            </w:r>
          </w:p>
        </w:tc>
      </w:tr>
    </w:tbl>
    <w:p w:rsidR="00460C86" w:rsidRPr="00460C86" w:rsidRDefault="00460C86" w:rsidP="00292D3F">
      <w:pPr>
        <w:pStyle w:val="Ruller41"/>
        <w:rPr>
          <w:b/>
          <w:highlight w:val="yellow"/>
          <w:rtl/>
        </w:rPr>
      </w:pPr>
    </w:p>
    <w:p w:rsidR="00460C86" w:rsidRPr="00460C86" w:rsidRDefault="00460C86" w:rsidP="00292D3F">
      <w:pPr>
        <w:pStyle w:val="Ruller41"/>
        <w:rPr>
          <w:b/>
          <w:highlight w:val="yellow"/>
          <w:rtl/>
        </w:rPr>
      </w:pPr>
    </w:p>
    <w:p w:rsidR="00292D3F" w:rsidRDefault="00460C86" w:rsidP="00292D3F">
      <w:pPr>
        <w:pStyle w:val="Ruller4"/>
        <w:numPr>
          <w:ilvl w:val="0"/>
          <w:numId w:val="0"/>
        </w:numPr>
        <w:rPr>
          <w:rtl/>
        </w:rPr>
      </w:pPr>
      <w:r w:rsidRPr="00460C86">
        <w:rPr>
          <w:rtl/>
        </w:rPr>
        <w:tab/>
      </w:r>
      <w:r w:rsidRPr="00460C86">
        <w:rPr>
          <w:rFonts w:hint="cs"/>
          <w:rtl/>
        </w:rPr>
        <w:t xml:space="preserve">הוחלט כאמור בפסק דינו של השופט </w:t>
      </w:r>
      <w:r w:rsidRPr="00460C86">
        <w:rPr>
          <w:rFonts w:ascii="Century" w:hAnsi="Century" w:cs="Miriam" w:hint="cs"/>
          <w:b/>
          <w:spacing w:val="0"/>
          <w:sz w:val="22"/>
          <w:szCs w:val="24"/>
          <w:rtl/>
        </w:rPr>
        <w:t>י' אלרון</w:t>
      </w:r>
      <w:r w:rsidRPr="00460C86">
        <w:rPr>
          <w:rFonts w:hint="cs"/>
          <w:rtl/>
        </w:rPr>
        <w:t>.</w:t>
      </w:r>
    </w:p>
    <w:p w:rsidR="00460C86" w:rsidRDefault="00460C86" w:rsidP="00460C86">
      <w:pPr>
        <w:pStyle w:val="Ruller41"/>
        <w:rPr>
          <w:rtl/>
        </w:rPr>
      </w:pPr>
    </w:p>
    <w:p w:rsidR="00460C86" w:rsidRDefault="00460C86" w:rsidP="00460C86">
      <w:pPr>
        <w:pStyle w:val="Ruller41"/>
        <w:rPr>
          <w:rtl/>
        </w:rPr>
      </w:pPr>
      <w:r>
        <w:rPr>
          <w:rtl/>
        </w:rPr>
        <w:tab/>
        <w:t xml:space="preserve">ניתן היום, </w:t>
      </w:r>
      <w:r>
        <w:rPr>
          <w:rFonts w:hint="cs"/>
          <w:rtl/>
        </w:rPr>
        <w:t>ט"ו</w:t>
      </w:r>
      <w:r>
        <w:rPr>
          <w:rtl/>
        </w:rPr>
        <w:t xml:space="preserve"> בתמוז </w:t>
      </w:r>
      <w:proofErr w:type="spellStart"/>
      <w:r>
        <w:rPr>
          <w:rtl/>
        </w:rPr>
        <w:t>התשפ"ד</w:t>
      </w:r>
      <w:proofErr w:type="spellEnd"/>
      <w:r>
        <w:rPr>
          <w:rtl/>
        </w:rPr>
        <w:t xml:space="preserve"> (</w:t>
      </w:r>
      <w:r>
        <w:rPr>
          <w:rFonts w:hint="eastAsia"/>
          <w:rtl/>
        </w:rPr>
        <w:t>‏</w:t>
      </w:r>
      <w:r>
        <w:rPr>
          <w:rFonts w:hint="cs"/>
          <w:rtl/>
        </w:rPr>
        <w:t>21</w:t>
      </w:r>
      <w:r>
        <w:rPr>
          <w:rtl/>
        </w:rPr>
        <w:t>.7.2024).</w:t>
      </w:r>
    </w:p>
    <w:p w:rsidR="00460C86" w:rsidRPr="00460C86" w:rsidRDefault="00460C86" w:rsidP="00460C86">
      <w:pPr>
        <w:pStyle w:val="Ruller41"/>
        <w:rPr>
          <w:rtl/>
        </w:rPr>
      </w:pPr>
    </w:p>
    <w:p w:rsidR="00460C86" w:rsidRDefault="00460C86" w:rsidP="00460C86">
      <w:pPr>
        <w:pStyle w:val="Ruller41"/>
        <w:rPr>
          <w:rtl/>
        </w:rPr>
      </w:pPr>
    </w:p>
    <w:p w:rsidR="00460C86" w:rsidRDefault="00460C86" w:rsidP="00460C86">
      <w:pPr>
        <w:pStyle w:val="Ruller41"/>
        <w:rPr>
          <w:rtl/>
        </w:rPr>
      </w:pPr>
    </w:p>
    <w:tbl>
      <w:tblPr>
        <w:bidiVisual/>
        <w:tblW w:w="0" w:type="auto"/>
        <w:tblLook w:val="01E0" w:firstRow="1" w:lastRow="1" w:firstColumn="1" w:lastColumn="1" w:noHBand="0" w:noVBand="0"/>
      </w:tblPr>
      <w:tblGrid>
        <w:gridCol w:w="2770"/>
        <w:gridCol w:w="2771"/>
        <w:gridCol w:w="2771"/>
      </w:tblGrid>
      <w:tr w:rsidR="00460C86">
        <w:tc>
          <w:tcPr>
            <w:tcW w:w="2842" w:type="dxa"/>
            <w:shd w:val="clear" w:color="auto" w:fill="auto"/>
          </w:tcPr>
          <w:p w:rsidR="00460C86" w:rsidRPr="005C5F73" w:rsidRDefault="005C5F73">
            <w:pPr>
              <w:pStyle w:val="Ruller41"/>
              <w:tabs>
                <w:tab w:val="clear" w:pos="800"/>
                <w:tab w:val="left" w:pos="3209"/>
                <w:tab w:val="left" w:pos="6753"/>
              </w:tabs>
              <w:jc w:val="left"/>
              <w:rPr>
                <w:rFonts w:ascii="Times New Roman" w:hAnsi="Times New Roman"/>
                <w:b/>
                <w:rtl/>
              </w:rPr>
            </w:pPr>
            <w:r>
              <w:rPr>
                <w:rFonts w:ascii="Times New Roman" w:hAnsi="Times New Roman" w:hint="cs"/>
                <w:b/>
                <w:rtl/>
              </w:rPr>
              <w:t xml:space="preserve">ש ו פ ט </w:t>
            </w:r>
          </w:p>
        </w:tc>
        <w:tc>
          <w:tcPr>
            <w:tcW w:w="2843" w:type="dxa"/>
            <w:shd w:val="clear" w:color="auto" w:fill="auto"/>
          </w:tcPr>
          <w:p w:rsidR="00460C86" w:rsidRPr="005C5F73" w:rsidRDefault="00460C86">
            <w:pPr>
              <w:pStyle w:val="Ruller41"/>
              <w:tabs>
                <w:tab w:val="clear" w:pos="800"/>
                <w:tab w:val="left" w:pos="3209"/>
                <w:tab w:val="left" w:pos="6753"/>
              </w:tabs>
              <w:jc w:val="center"/>
              <w:rPr>
                <w:rFonts w:ascii="Times New Roman" w:hAnsi="Times New Roman"/>
                <w:b/>
                <w:rtl/>
              </w:rPr>
            </w:pPr>
            <w:r w:rsidRPr="005C5F73">
              <w:rPr>
                <w:rFonts w:ascii="Times New Roman" w:hAnsi="Times New Roman" w:hint="cs"/>
                <w:b/>
                <w:rtl/>
              </w:rPr>
              <w:t>ש ו פ ט</w:t>
            </w:r>
          </w:p>
        </w:tc>
        <w:tc>
          <w:tcPr>
            <w:tcW w:w="2843" w:type="dxa"/>
            <w:shd w:val="clear" w:color="auto" w:fill="auto"/>
          </w:tcPr>
          <w:p w:rsidR="00460C86" w:rsidRPr="005C5F73" w:rsidRDefault="00460C86">
            <w:pPr>
              <w:pStyle w:val="Ruller41"/>
              <w:tabs>
                <w:tab w:val="clear" w:pos="800"/>
                <w:tab w:val="left" w:pos="3209"/>
                <w:tab w:val="left" w:pos="6753"/>
              </w:tabs>
              <w:jc w:val="right"/>
              <w:rPr>
                <w:rFonts w:ascii="Times New Roman" w:hAnsi="Times New Roman"/>
                <w:b/>
                <w:rtl/>
              </w:rPr>
            </w:pPr>
            <w:r w:rsidRPr="005C5F73">
              <w:rPr>
                <w:rFonts w:ascii="Times New Roman" w:hAnsi="Times New Roman" w:hint="cs"/>
                <w:b/>
                <w:rtl/>
              </w:rPr>
              <w:t>ש ו פ ט</w:t>
            </w:r>
            <w:r w:rsidR="005C5F73">
              <w:rPr>
                <w:rFonts w:ascii="Times New Roman" w:hAnsi="Times New Roman" w:hint="cs"/>
                <w:b/>
                <w:rtl/>
              </w:rPr>
              <w:t xml:space="preserve"> ת</w:t>
            </w:r>
          </w:p>
        </w:tc>
      </w:tr>
    </w:tbl>
    <w:p w:rsidR="00916FF8" w:rsidRDefault="0076530C">
      <w:pPr>
        <w:rPr>
          <w:szCs w:val="16"/>
          <w:rtl/>
        </w:rPr>
      </w:pPr>
      <w:r>
        <w:rPr>
          <w:szCs w:val="16"/>
          <w:rtl/>
        </w:rPr>
        <w:t>___</w:t>
      </w:r>
      <w:r w:rsidR="00916FF8">
        <w:rPr>
          <w:szCs w:val="16"/>
          <w:rtl/>
        </w:rPr>
        <w:t>_____________</w:t>
      </w:r>
      <w:r w:rsidR="00A12E0F">
        <w:rPr>
          <w:rFonts w:hint="cs"/>
          <w:szCs w:val="16"/>
          <w:rtl/>
        </w:rPr>
        <w:t>________</w:t>
      </w:r>
    </w:p>
    <w:p w:rsidR="00916FF8" w:rsidRDefault="00591983" w:rsidP="00B009CC">
      <w:pPr>
        <w:pStyle w:val="Ruller38"/>
        <w:rPr>
          <w:rtl/>
        </w:rPr>
      </w:pPr>
      <w:r>
        <w:rPr>
          <w:sz w:val="16"/>
        </w:rPr>
        <w:t xml:space="preserve"> </w:t>
      </w:r>
      <w:r w:rsidR="00A12E0F">
        <w:rPr>
          <w:sz w:val="16"/>
        </w:rPr>
        <w:t xml:space="preserve">  </w:t>
      </w:r>
      <w:r w:rsidR="00A05082">
        <w:rPr>
          <w:sz w:val="16"/>
        </w:rPr>
        <w:t xml:space="preserve">23066920_J04.docx   </w:t>
      </w:r>
      <w:r w:rsidR="00A05082">
        <w:rPr>
          <w:sz w:val="16"/>
          <w:rtl/>
        </w:rPr>
        <w:t>שא</w:t>
      </w:r>
    </w:p>
    <w:p w:rsidR="003F1F97" w:rsidRDefault="00591983" w:rsidP="00460C86">
      <w:pPr>
        <w:pStyle w:val="Ruller38"/>
        <w:rPr>
          <w:rtl/>
        </w:rPr>
      </w:pPr>
      <w:r>
        <w:rPr>
          <w:rtl/>
        </w:rPr>
        <w:t>מרכז מידע, טל'</w:t>
      </w:r>
      <w:r>
        <w:rPr>
          <w:rFonts w:hint="cs"/>
          <w:rtl/>
        </w:rPr>
        <w:t xml:space="preserve"> </w:t>
      </w:r>
      <w:r w:rsidR="00B63343">
        <w:rPr>
          <w:rFonts w:hint="cs"/>
          <w:rtl/>
        </w:rPr>
        <w:t>077</w:t>
      </w:r>
      <w:r>
        <w:rPr>
          <w:rFonts w:hint="cs"/>
          <w:rtl/>
        </w:rPr>
        <w:t>-</w:t>
      </w:r>
      <w:r w:rsidR="00B63343">
        <w:rPr>
          <w:rFonts w:hint="cs"/>
          <w:rtl/>
        </w:rPr>
        <w:t>270</w:t>
      </w:r>
      <w:r w:rsidR="00E21CA9">
        <w:rPr>
          <w:rFonts w:hint="cs"/>
          <w:rtl/>
        </w:rPr>
        <w:t>3</w:t>
      </w:r>
      <w:r w:rsidR="009B38DA">
        <w:rPr>
          <w:rFonts w:hint="cs"/>
          <w:rtl/>
        </w:rPr>
        <w:t>333</w:t>
      </w:r>
      <w:r w:rsidR="00866D0F">
        <w:rPr>
          <w:rFonts w:hint="cs"/>
          <w:rtl/>
        </w:rPr>
        <w:t>, 3852*</w:t>
      </w:r>
      <w:r>
        <w:rPr>
          <w:rFonts w:hint="cs"/>
          <w:rtl/>
        </w:rPr>
        <w:t xml:space="preserve"> ; אתר אינטרנט,  </w:t>
      </w:r>
      <w:hyperlink r:id="rId8" w:history="1">
        <w:r w:rsidR="00FC0252" w:rsidRPr="00BB4C68">
          <w:rPr>
            <w:rStyle w:val="Hyperlink"/>
            <w:sz w:val="16"/>
          </w:rPr>
          <w:t>https://supreme.court.gov.il</w:t>
        </w:r>
      </w:hyperlink>
    </w:p>
    <w:sectPr w:rsidR="003F1F97" w:rsidSect="00591983">
      <w:headerReference w:type="even" r:id="rId9"/>
      <w:headerReference w:type="default" r:id="rId10"/>
      <w:footerReference w:type="even" r:id="rId11"/>
      <w:footerReference w:type="default" r:id="rId12"/>
      <w:headerReference w:type="first" r:id="rId13"/>
      <w:footerReference w:type="first" r:id="rId14"/>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FB5" w:rsidRDefault="00282FB5">
      <w:r>
        <w:separator/>
      </w:r>
    </w:p>
  </w:endnote>
  <w:endnote w:type="continuationSeparator" w:id="0">
    <w:p w:rsidR="00282FB5" w:rsidRDefault="0028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5082" w:rsidRDefault="00A05082">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6" w:name="footer_line"/>
    <w:bookmarkEnd w:id="6"/>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FB5" w:rsidRDefault="00282FB5">
      <w:r>
        <w:separator/>
      </w:r>
    </w:p>
  </w:footnote>
  <w:footnote w:type="continuationSeparator" w:id="0">
    <w:p w:rsidR="00282FB5" w:rsidRDefault="00282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5"/>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0A5800">
      <w:rPr>
        <w:rStyle w:val="a4"/>
        <w:noProof/>
        <w:rtl/>
      </w:rPr>
      <w:t>17</w:t>
    </w:r>
    <w:r>
      <w:rPr>
        <w:rStyle w:val="a4"/>
        <w:rtl/>
      </w:rPr>
      <w:fldChar w:fldCharType="end"/>
    </w:r>
  </w:p>
  <w:p w:rsidR="00377102" w:rsidRDefault="00377102">
    <w:pPr>
      <w:pStyle w:val="a5"/>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rsidTr="00EC23AC">
      <w:trPr>
        <w:trHeight w:val="342"/>
      </w:trPr>
      <w:tc>
        <w:tcPr>
          <w:tcW w:w="9828" w:type="dxa"/>
        </w:tcPr>
        <w:p w:rsidR="00377102" w:rsidRPr="002F7BB6" w:rsidRDefault="00EE3810"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045B4D" w:rsidRDefault="00045B4D"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C252623C"/>
    <w:lvl w:ilvl="0" w:tplc="23329580">
      <w:start w:val="1"/>
      <w:numFmt w:val="decimal"/>
      <w:pStyle w:val="Ruller4"/>
      <w:lvlText w:val="%1."/>
      <w:lvlJc w:val="left"/>
      <w:pPr>
        <w:tabs>
          <w:tab w:val="num" w:pos="907"/>
        </w:tabs>
        <w:ind w:left="0" w:firstLine="0"/>
      </w:pPr>
      <w:rPr>
        <w:rFonts w:hint="default"/>
        <w:lang w:bidi="he-IL"/>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7ED03C9"/>
    <w:multiLevelType w:val="hybridMultilevel"/>
    <w:tmpl w:val="FA3A3B90"/>
    <w:lvl w:ilvl="0" w:tplc="18BA202E">
      <w:numFmt w:val="bullet"/>
      <w:lvlText w:val=""/>
      <w:lvlJc w:val="left"/>
      <w:pPr>
        <w:ind w:left="720" w:hanging="360"/>
      </w:pPr>
      <w:rPr>
        <w:rFonts w:ascii="Symbol" w:eastAsia="Times New Roman" w:hAnsi="Symbol" w:cs="FrankRueh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646B4D"/>
    <w:multiLevelType w:val="hybridMultilevel"/>
    <w:tmpl w:val="622ED620"/>
    <w:lvl w:ilvl="0" w:tplc="C05C0EEA">
      <w:numFmt w:val="bullet"/>
      <w:lvlText w:val=""/>
      <w:lvlJc w:val="left"/>
      <w:pPr>
        <w:ind w:left="720" w:hanging="360"/>
      </w:pPr>
      <w:rPr>
        <w:rFonts w:ascii="Symbol" w:eastAsia="Times New Roman" w:hAnsi="Symbol" w:cs="FrankRueh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E70B62"/>
    <w:multiLevelType w:val="hybridMultilevel"/>
    <w:tmpl w:val="ADA8711E"/>
    <w:lvl w:ilvl="0" w:tplc="DBB0A036">
      <w:start w:val="1"/>
      <w:numFmt w:val="hebrew1"/>
      <w:pStyle w:val="Ruller40"/>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41D3B46"/>
    <w:multiLevelType w:val="hybridMultilevel"/>
    <w:tmpl w:val="70760206"/>
    <w:lvl w:ilvl="0" w:tplc="DF683BF4">
      <w:start w:val="2"/>
      <w:numFmt w:val="bullet"/>
      <w:lvlText w:val="-"/>
      <w:lvlJc w:val="left"/>
      <w:pPr>
        <w:ind w:left="720" w:hanging="360"/>
      </w:pPr>
      <w:rPr>
        <w:rFonts w:ascii="FrankRuehl" w:eastAsia="Times New Roman" w:hAnsi="FrankRuehl" w:cs="FrankRueh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3"/>
  </w:num>
  <w:num w:numId="13">
    <w:abstractNumId w:val="1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0742D"/>
    <w:rsid w:val="00014420"/>
    <w:rsid w:val="00016EF1"/>
    <w:rsid w:val="00032036"/>
    <w:rsid w:val="00036227"/>
    <w:rsid w:val="00036822"/>
    <w:rsid w:val="00044953"/>
    <w:rsid w:val="00045B4D"/>
    <w:rsid w:val="00066675"/>
    <w:rsid w:val="000725F5"/>
    <w:rsid w:val="00072AD2"/>
    <w:rsid w:val="000771A6"/>
    <w:rsid w:val="00080B94"/>
    <w:rsid w:val="00083409"/>
    <w:rsid w:val="000A5800"/>
    <w:rsid w:val="000B1478"/>
    <w:rsid w:val="000B7239"/>
    <w:rsid w:val="000C11B7"/>
    <w:rsid w:val="000C4690"/>
    <w:rsid w:val="000C53CC"/>
    <w:rsid w:val="000D25C4"/>
    <w:rsid w:val="00106411"/>
    <w:rsid w:val="00126F46"/>
    <w:rsid w:val="00130392"/>
    <w:rsid w:val="00134A67"/>
    <w:rsid w:val="00143210"/>
    <w:rsid w:val="00150023"/>
    <w:rsid w:val="00197E91"/>
    <w:rsid w:val="001A0164"/>
    <w:rsid w:val="001A0FCC"/>
    <w:rsid w:val="001B79DC"/>
    <w:rsid w:val="001C5CD5"/>
    <w:rsid w:val="001D003F"/>
    <w:rsid w:val="00200D6B"/>
    <w:rsid w:val="00213C24"/>
    <w:rsid w:val="00216B79"/>
    <w:rsid w:val="00222FB2"/>
    <w:rsid w:val="0025269B"/>
    <w:rsid w:val="00264DEE"/>
    <w:rsid w:val="00265F6E"/>
    <w:rsid w:val="00266054"/>
    <w:rsid w:val="00276901"/>
    <w:rsid w:val="00282FB5"/>
    <w:rsid w:val="002856CA"/>
    <w:rsid w:val="002876BF"/>
    <w:rsid w:val="00292D3F"/>
    <w:rsid w:val="002A4A7A"/>
    <w:rsid w:val="002A4BF3"/>
    <w:rsid w:val="002F67B9"/>
    <w:rsid w:val="002F7BB6"/>
    <w:rsid w:val="003139BB"/>
    <w:rsid w:val="00314507"/>
    <w:rsid w:val="0032630C"/>
    <w:rsid w:val="00327ABE"/>
    <w:rsid w:val="003448B2"/>
    <w:rsid w:val="00361DB2"/>
    <w:rsid w:val="00363EB4"/>
    <w:rsid w:val="0037622E"/>
    <w:rsid w:val="00377102"/>
    <w:rsid w:val="0039709B"/>
    <w:rsid w:val="003A265E"/>
    <w:rsid w:val="003B2C17"/>
    <w:rsid w:val="003D72DA"/>
    <w:rsid w:val="003E2FBA"/>
    <w:rsid w:val="003F0483"/>
    <w:rsid w:val="003F1F97"/>
    <w:rsid w:val="003F61D4"/>
    <w:rsid w:val="0041048F"/>
    <w:rsid w:val="0041490E"/>
    <w:rsid w:val="00422EAE"/>
    <w:rsid w:val="00427D8B"/>
    <w:rsid w:val="00435623"/>
    <w:rsid w:val="00437D59"/>
    <w:rsid w:val="00443151"/>
    <w:rsid w:val="004470CB"/>
    <w:rsid w:val="00456248"/>
    <w:rsid w:val="00460C86"/>
    <w:rsid w:val="004610A4"/>
    <w:rsid w:val="00481B01"/>
    <w:rsid w:val="00491894"/>
    <w:rsid w:val="00492320"/>
    <w:rsid w:val="004A5146"/>
    <w:rsid w:val="004B29FF"/>
    <w:rsid w:val="004C1ABA"/>
    <w:rsid w:val="004C7868"/>
    <w:rsid w:val="004E1357"/>
    <w:rsid w:val="00503A3E"/>
    <w:rsid w:val="00506078"/>
    <w:rsid w:val="005137EA"/>
    <w:rsid w:val="0052037D"/>
    <w:rsid w:val="00520531"/>
    <w:rsid w:val="00527F02"/>
    <w:rsid w:val="00537940"/>
    <w:rsid w:val="00550099"/>
    <w:rsid w:val="00562586"/>
    <w:rsid w:val="00573E52"/>
    <w:rsid w:val="005803E2"/>
    <w:rsid w:val="0058440A"/>
    <w:rsid w:val="00591983"/>
    <w:rsid w:val="00594A33"/>
    <w:rsid w:val="005C5F73"/>
    <w:rsid w:val="00624A42"/>
    <w:rsid w:val="00634FC7"/>
    <w:rsid w:val="00635B07"/>
    <w:rsid w:val="0065522F"/>
    <w:rsid w:val="00656E6B"/>
    <w:rsid w:val="006816FD"/>
    <w:rsid w:val="006A30F7"/>
    <w:rsid w:val="006B538A"/>
    <w:rsid w:val="006C42AD"/>
    <w:rsid w:val="006F12BB"/>
    <w:rsid w:val="006F2123"/>
    <w:rsid w:val="00714F80"/>
    <w:rsid w:val="00715BB5"/>
    <w:rsid w:val="00725345"/>
    <w:rsid w:val="007402D9"/>
    <w:rsid w:val="007414F2"/>
    <w:rsid w:val="00741CC0"/>
    <w:rsid w:val="0074397D"/>
    <w:rsid w:val="00745B59"/>
    <w:rsid w:val="0076270A"/>
    <w:rsid w:val="0076530C"/>
    <w:rsid w:val="00767D54"/>
    <w:rsid w:val="00774A26"/>
    <w:rsid w:val="00780DE1"/>
    <w:rsid w:val="007843AE"/>
    <w:rsid w:val="00785128"/>
    <w:rsid w:val="007A4760"/>
    <w:rsid w:val="007A6F71"/>
    <w:rsid w:val="007B512F"/>
    <w:rsid w:val="007D3B81"/>
    <w:rsid w:val="007D66A5"/>
    <w:rsid w:val="007F7512"/>
    <w:rsid w:val="00810894"/>
    <w:rsid w:val="008143AB"/>
    <w:rsid w:val="008268E8"/>
    <w:rsid w:val="0083345F"/>
    <w:rsid w:val="00834E9A"/>
    <w:rsid w:val="00836667"/>
    <w:rsid w:val="00851A95"/>
    <w:rsid w:val="008603F2"/>
    <w:rsid w:val="00866D0F"/>
    <w:rsid w:val="008C2F11"/>
    <w:rsid w:val="008D481E"/>
    <w:rsid w:val="008D78B9"/>
    <w:rsid w:val="008E3F85"/>
    <w:rsid w:val="008F2142"/>
    <w:rsid w:val="009051E8"/>
    <w:rsid w:val="009058AE"/>
    <w:rsid w:val="0090636A"/>
    <w:rsid w:val="00907DDC"/>
    <w:rsid w:val="00914156"/>
    <w:rsid w:val="009169B9"/>
    <w:rsid w:val="00916FF8"/>
    <w:rsid w:val="00922093"/>
    <w:rsid w:val="00930C85"/>
    <w:rsid w:val="00934122"/>
    <w:rsid w:val="009527D4"/>
    <w:rsid w:val="00964845"/>
    <w:rsid w:val="00990BD1"/>
    <w:rsid w:val="009A1293"/>
    <w:rsid w:val="009A2A77"/>
    <w:rsid w:val="009A2AC3"/>
    <w:rsid w:val="009A7220"/>
    <w:rsid w:val="009B38DA"/>
    <w:rsid w:val="009C36BB"/>
    <w:rsid w:val="009E3C9E"/>
    <w:rsid w:val="009F2F53"/>
    <w:rsid w:val="009F4187"/>
    <w:rsid w:val="00A05082"/>
    <w:rsid w:val="00A12E0F"/>
    <w:rsid w:val="00A34F6E"/>
    <w:rsid w:val="00A433EE"/>
    <w:rsid w:val="00A51FAE"/>
    <w:rsid w:val="00A61C11"/>
    <w:rsid w:val="00A629AF"/>
    <w:rsid w:val="00A80845"/>
    <w:rsid w:val="00A85237"/>
    <w:rsid w:val="00AB69F7"/>
    <w:rsid w:val="00AD097B"/>
    <w:rsid w:val="00AD4F8A"/>
    <w:rsid w:val="00AD64B9"/>
    <w:rsid w:val="00AE022B"/>
    <w:rsid w:val="00AF0E74"/>
    <w:rsid w:val="00B009CC"/>
    <w:rsid w:val="00B017D7"/>
    <w:rsid w:val="00B0782A"/>
    <w:rsid w:val="00B32BFB"/>
    <w:rsid w:val="00B40899"/>
    <w:rsid w:val="00B47E89"/>
    <w:rsid w:val="00B60B3E"/>
    <w:rsid w:val="00B62B8C"/>
    <w:rsid w:val="00B63343"/>
    <w:rsid w:val="00B67DF7"/>
    <w:rsid w:val="00B83E54"/>
    <w:rsid w:val="00B87FF7"/>
    <w:rsid w:val="00BA0B08"/>
    <w:rsid w:val="00BA2409"/>
    <w:rsid w:val="00BB0C59"/>
    <w:rsid w:val="00BC0E82"/>
    <w:rsid w:val="00BC26EB"/>
    <w:rsid w:val="00BD40F9"/>
    <w:rsid w:val="00BD69F1"/>
    <w:rsid w:val="00BD7D67"/>
    <w:rsid w:val="00BF3E48"/>
    <w:rsid w:val="00BF7B8F"/>
    <w:rsid w:val="00C23F48"/>
    <w:rsid w:val="00C33549"/>
    <w:rsid w:val="00C41C86"/>
    <w:rsid w:val="00C51F70"/>
    <w:rsid w:val="00C5380B"/>
    <w:rsid w:val="00C5594E"/>
    <w:rsid w:val="00C63A6C"/>
    <w:rsid w:val="00C76D4C"/>
    <w:rsid w:val="00C96024"/>
    <w:rsid w:val="00CA13AF"/>
    <w:rsid w:val="00CA1444"/>
    <w:rsid w:val="00CA6ED5"/>
    <w:rsid w:val="00CB0684"/>
    <w:rsid w:val="00CB1590"/>
    <w:rsid w:val="00CB7600"/>
    <w:rsid w:val="00CC0E9D"/>
    <w:rsid w:val="00CC3639"/>
    <w:rsid w:val="00CF1CEE"/>
    <w:rsid w:val="00D00B1D"/>
    <w:rsid w:val="00D00CB7"/>
    <w:rsid w:val="00D141F1"/>
    <w:rsid w:val="00D25F16"/>
    <w:rsid w:val="00D52732"/>
    <w:rsid w:val="00D71BEF"/>
    <w:rsid w:val="00D75320"/>
    <w:rsid w:val="00D821CC"/>
    <w:rsid w:val="00D91F0D"/>
    <w:rsid w:val="00DA3DB9"/>
    <w:rsid w:val="00DA6585"/>
    <w:rsid w:val="00DC3CCC"/>
    <w:rsid w:val="00DD084D"/>
    <w:rsid w:val="00DD269B"/>
    <w:rsid w:val="00E023B5"/>
    <w:rsid w:val="00E21CA9"/>
    <w:rsid w:val="00E27749"/>
    <w:rsid w:val="00E31063"/>
    <w:rsid w:val="00E36FE9"/>
    <w:rsid w:val="00E42789"/>
    <w:rsid w:val="00E478C4"/>
    <w:rsid w:val="00E67E26"/>
    <w:rsid w:val="00E706FE"/>
    <w:rsid w:val="00E73E98"/>
    <w:rsid w:val="00E745A9"/>
    <w:rsid w:val="00E75223"/>
    <w:rsid w:val="00E90D72"/>
    <w:rsid w:val="00EA070B"/>
    <w:rsid w:val="00EA0BE1"/>
    <w:rsid w:val="00EB1D80"/>
    <w:rsid w:val="00EC23AC"/>
    <w:rsid w:val="00EC2992"/>
    <w:rsid w:val="00EC493E"/>
    <w:rsid w:val="00ED46A4"/>
    <w:rsid w:val="00ED4E03"/>
    <w:rsid w:val="00ED6FD9"/>
    <w:rsid w:val="00EE1426"/>
    <w:rsid w:val="00EE3810"/>
    <w:rsid w:val="00EE3A2C"/>
    <w:rsid w:val="00F067F2"/>
    <w:rsid w:val="00F13D9C"/>
    <w:rsid w:val="00F266C5"/>
    <w:rsid w:val="00F63C3B"/>
    <w:rsid w:val="00F66442"/>
    <w:rsid w:val="00F71704"/>
    <w:rsid w:val="00F85F13"/>
    <w:rsid w:val="00F918E9"/>
    <w:rsid w:val="00F956A9"/>
    <w:rsid w:val="00F959DB"/>
    <w:rsid w:val="00FA6BEA"/>
    <w:rsid w:val="00FC0252"/>
    <w:rsid w:val="00FD3EC7"/>
    <w:rsid w:val="00FD4679"/>
    <w:rsid w:val="00FF0A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E8F0F10-0C01-491B-87EA-052408167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1">
    <w:name w:val="Ruller4"/>
    <w:basedOn w:val="a"/>
    <w:link w:val="Ruller42"/>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uiPriority w:val="99"/>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paragraph" w:customStyle="1" w:styleId="Ruller4">
    <w:name w:val="Ruller 4 ממוספר"/>
    <w:basedOn w:val="Ruller41"/>
    <w:next w:val="Ruller41"/>
    <w:rsid w:val="009A2AC3"/>
    <w:pPr>
      <w:numPr>
        <w:numId w:val="11"/>
      </w:numPr>
    </w:pPr>
    <w:rPr>
      <w:rFonts w:ascii="Garamond" w:hAnsi="Garamond"/>
      <w:sz w:val="24"/>
    </w:rPr>
  </w:style>
  <w:style w:type="paragraph" w:customStyle="1" w:styleId="Ruller40">
    <w:name w:val="Ruller4 אלפביתי"/>
    <w:basedOn w:val="Ruller41"/>
    <w:next w:val="Ruller41"/>
    <w:rsid w:val="009A2AC3"/>
    <w:pPr>
      <w:numPr>
        <w:numId w:val="12"/>
      </w:numPr>
    </w:pPr>
  </w:style>
  <w:style w:type="paragraph" w:customStyle="1" w:styleId="ruller400">
    <w:name w:val="ruller40"/>
    <w:basedOn w:val="a"/>
    <w:rsid w:val="009A2AC3"/>
    <w:pPr>
      <w:overflowPunct/>
      <w:autoSpaceDE/>
      <w:autoSpaceDN/>
      <w:bidi w:val="0"/>
      <w:adjustRightInd/>
      <w:spacing w:before="100" w:beforeAutospacing="1" w:after="100" w:afterAutospacing="1"/>
      <w:textAlignment w:val="auto"/>
    </w:pPr>
    <w:rPr>
      <w:rFonts w:cs="Times New Roman"/>
      <w:sz w:val="24"/>
    </w:rPr>
  </w:style>
  <w:style w:type="character" w:customStyle="1" w:styleId="term2">
    <w:name w:val="term_2"/>
    <w:basedOn w:val="a0"/>
    <w:rsid w:val="009A2AC3"/>
  </w:style>
  <w:style w:type="paragraph" w:customStyle="1" w:styleId="ruller43">
    <w:name w:val="ruller4"/>
    <w:basedOn w:val="a"/>
    <w:rsid w:val="009A2AC3"/>
    <w:pPr>
      <w:overflowPunct/>
      <w:autoSpaceDE/>
      <w:autoSpaceDN/>
      <w:bidi w:val="0"/>
      <w:adjustRightInd/>
      <w:spacing w:before="100" w:beforeAutospacing="1" w:after="100" w:afterAutospacing="1"/>
      <w:textAlignment w:val="auto"/>
    </w:pPr>
    <w:rPr>
      <w:rFonts w:cs="Times New Roman"/>
      <w:sz w:val="24"/>
    </w:rPr>
  </w:style>
  <w:style w:type="paragraph" w:styleId="ae">
    <w:name w:val="Revision"/>
    <w:hidden/>
    <w:uiPriority w:val="99"/>
    <w:semiHidden/>
    <w:rsid w:val="00CF1CEE"/>
    <w:rPr>
      <w:rFonts w:cs="David"/>
      <w:szCs w:val="24"/>
    </w:rPr>
  </w:style>
  <w:style w:type="character" w:customStyle="1" w:styleId="Ruller42">
    <w:name w:val="Ruller4 תו"/>
    <w:basedOn w:val="a0"/>
    <w:link w:val="Ruller41"/>
    <w:locked/>
    <w:rsid w:val="00460C86"/>
    <w:rPr>
      <w:rFonts w:ascii="Arial TUR" w:hAnsi="Arial TUR" w:cs="FrankRuehl"/>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upreme.court.gov.i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5254</Words>
  <Characters>26272</Characters>
  <Application>Microsoft Office Word</Application>
  <DocSecurity>0</DocSecurity>
  <Lines>218</Lines>
  <Paragraphs>62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31464</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רותם כהן</dc:creator>
  <cp:keywords/>
  <dc:description/>
  <cp:lastModifiedBy>רותם כהן</cp:lastModifiedBy>
  <cp:revision>2</cp:revision>
  <cp:lastPrinted>2024-07-21T04:18:00Z</cp:lastPrinted>
  <dcterms:created xsi:type="dcterms:W3CDTF">2024-07-21T06:27:00Z</dcterms:created>
  <dcterms:modified xsi:type="dcterms:W3CDTF">2024-07-21T06:27:00Z</dcterms:modified>
</cp:coreProperties>
</file>